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2BEA" w14:textId="237318CE" w:rsidR="00E909AF" w:rsidRPr="006C0055" w:rsidRDefault="00E909AF" w:rsidP="00E909AF">
      <w:pPr>
        <w:spacing w:after="0" w:line="240" w:lineRule="auto"/>
        <w:jc w:val="center"/>
        <w:rPr>
          <w:rFonts w:ascii="Aptos Narrow" w:hAnsi="Aptos Narrow"/>
          <w:b/>
          <w:bCs/>
          <w:sz w:val="24"/>
          <w:szCs w:val="24"/>
        </w:rPr>
      </w:pPr>
      <w:r w:rsidRPr="006C0055">
        <w:rPr>
          <w:rFonts w:ascii="Aptos Narrow" w:hAnsi="Aptos Narrow"/>
          <w:b/>
          <w:bCs/>
          <w:sz w:val="24"/>
          <w:szCs w:val="24"/>
        </w:rPr>
        <w:t>PIERCE’S DISEASE CONTROL PROGRAM</w:t>
      </w:r>
    </w:p>
    <w:p w14:paraId="2AC52D2C" w14:textId="77777777" w:rsidR="00E909AF" w:rsidRPr="006C0055" w:rsidRDefault="00E909AF" w:rsidP="00E909AF">
      <w:pPr>
        <w:spacing w:after="0" w:line="240" w:lineRule="auto"/>
        <w:jc w:val="center"/>
        <w:rPr>
          <w:rFonts w:ascii="Aptos Narrow" w:hAnsi="Aptos Narrow"/>
          <w:b/>
          <w:bCs/>
          <w:sz w:val="24"/>
          <w:szCs w:val="24"/>
        </w:rPr>
      </w:pPr>
    </w:p>
    <w:p w14:paraId="032A637D" w14:textId="07A53ABE" w:rsidR="00E909AF" w:rsidRPr="006C0055" w:rsidRDefault="00E909AF" w:rsidP="00E909AF">
      <w:pPr>
        <w:spacing w:after="0" w:line="240" w:lineRule="auto"/>
        <w:jc w:val="center"/>
        <w:rPr>
          <w:rFonts w:ascii="Aptos Narrow" w:hAnsi="Aptos Narrow"/>
          <w:b/>
          <w:bCs/>
          <w:sz w:val="24"/>
          <w:szCs w:val="24"/>
        </w:rPr>
      </w:pPr>
      <w:r w:rsidRPr="006C0055">
        <w:rPr>
          <w:rFonts w:ascii="Aptos Narrow" w:hAnsi="Aptos Narrow"/>
          <w:b/>
          <w:bCs/>
          <w:sz w:val="24"/>
          <w:szCs w:val="24"/>
        </w:rPr>
        <w:t>MINUTE ORDER OF BOARD OF SUPERVISORS DESIGNATING LOCAL PUBLIC ENTITY PURSUANT TO FOOD AND AGRICULTURAL CODE SECTION 6046(f)</w:t>
      </w:r>
    </w:p>
    <w:p w14:paraId="0ADE56ED" w14:textId="77777777" w:rsidR="00E909AF" w:rsidRPr="006C0055" w:rsidRDefault="00E909AF" w:rsidP="00E909AF">
      <w:pPr>
        <w:spacing w:after="0" w:line="240" w:lineRule="auto"/>
        <w:jc w:val="center"/>
        <w:rPr>
          <w:rFonts w:ascii="Aptos Narrow" w:hAnsi="Aptos Narrow"/>
          <w:b/>
          <w:bCs/>
          <w:sz w:val="24"/>
          <w:szCs w:val="24"/>
        </w:rPr>
      </w:pPr>
    </w:p>
    <w:p w14:paraId="7E1C6056" w14:textId="77777777" w:rsidR="00E909AF" w:rsidRPr="006C0055" w:rsidRDefault="00E909AF" w:rsidP="00E909AF">
      <w:pPr>
        <w:spacing w:after="0" w:line="240" w:lineRule="auto"/>
        <w:jc w:val="center"/>
        <w:rPr>
          <w:rFonts w:ascii="Aptos Narrow" w:hAnsi="Aptos Narrow"/>
          <w:b/>
          <w:bCs/>
          <w:sz w:val="24"/>
          <w:szCs w:val="24"/>
        </w:rPr>
      </w:pPr>
    </w:p>
    <w:p w14:paraId="0C376939" w14:textId="62DD2B97" w:rsidR="00E909AF" w:rsidRPr="006C0055" w:rsidRDefault="00E909AF" w:rsidP="00E909AF">
      <w:pPr>
        <w:spacing w:after="0" w:line="240" w:lineRule="auto"/>
        <w:jc w:val="center"/>
        <w:rPr>
          <w:rFonts w:ascii="Aptos Narrow" w:hAnsi="Aptos Narrow"/>
          <w:sz w:val="24"/>
          <w:szCs w:val="24"/>
        </w:rPr>
      </w:pPr>
      <w:r w:rsidRPr="006C0055">
        <w:rPr>
          <w:rFonts w:ascii="Aptos Narrow" w:hAnsi="Aptos Narrow"/>
          <w:sz w:val="24"/>
          <w:szCs w:val="24"/>
          <w:highlight w:val="cyan"/>
        </w:rPr>
        <w:t>[</w:t>
      </w:r>
      <w:r w:rsidR="00C90868" w:rsidRPr="006C0055">
        <w:rPr>
          <w:rFonts w:ascii="Aptos Narrow" w:hAnsi="Aptos Narrow"/>
          <w:sz w:val="24"/>
          <w:szCs w:val="24"/>
          <w:highlight w:val="cyan"/>
        </w:rPr>
        <w:t>C</w:t>
      </w:r>
      <w:r w:rsidRPr="006C0055">
        <w:rPr>
          <w:rFonts w:ascii="Aptos Narrow" w:hAnsi="Aptos Narrow"/>
          <w:sz w:val="24"/>
          <w:szCs w:val="24"/>
          <w:highlight w:val="cyan"/>
        </w:rPr>
        <w:t>opy of Minute Order or Board Resolution]</w:t>
      </w:r>
    </w:p>
    <w:p w14:paraId="6022B7D2" w14:textId="77777777" w:rsidR="00E909AF" w:rsidRPr="006C0055" w:rsidRDefault="00E909AF" w:rsidP="00E909AF">
      <w:pPr>
        <w:spacing w:after="0" w:line="240" w:lineRule="auto"/>
        <w:jc w:val="center"/>
        <w:rPr>
          <w:rFonts w:ascii="Aptos Narrow" w:hAnsi="Aptos Narrow"/>
          <w:sz w:val="24"/>
          <w:szCs w:val="24"/>
        </w:rPr>
      </w:pPr>
    </w:p>
    <w:p w14:paraId="3999670C" w14:textId="4770C71E" w:rsidR="00C90868" w:rsidRPr="006C0055" w:rsidRDefault="00C90868" w:rsidP="00E909AF">
      <w:pPr>
        <w:spacing w:after="0" w:line="240" w:lineRule="auto"/>
        <w:rPr>
          <w:rFonts w:ascii="Aptos Narrow" w:hAnsi="Aptos Narrow"/>
          <w:i/>
          <w:iCs/>
          <w:sz w:val="24"/>
          <w:szCs w:val="24"/>
        </w:rPr>
      </w:pPr>
    </w:p>
    <w:p w14:paraId="02160D7A" w14:textId="2A8E8BE4" w:rsidR="00C90868" w:rsidRPr="006C0055" w:rsidRDefault="00E909AF" w:rsidP="009E42A8">
      <w:pPr>
        <w:spacing w:after="0" w:line="240" w:lineRule="auto"/>
        <w:jc w:val="both"/>
        <w:rPr>
          <w:rFonts w:ascii="Aptos Narrow" w:hAnsi="Aptos Narrow"/>
          <w:i/>
          <w:iCs/>
          <w:sz w:val="24"/>
          <w:szCs w:val="24"/>
        </w:rPr>
      </w:pPr>
      <w:r w:rsidRPr="006C0055">
        <w:rPr>
          <w:rFonts w:ascii="Aptos Narrow" w:hAnsi="Aptos Narrow"/>
          <w:i/>
          <w:iCs/>
          <w:sz w:val="24"/>
          <w:szCs w:val="24"/>
        </w:rPr>
        <w:t>RECOMMENDED LANGUAGE:</w:t>
      </w:r>
    </w:p>
    <w:p w14:paraId="6875C41E" w14:textId="41DE23F4" w:rsidR="00C5182A" w:rsidRPr="006C0055" w:rsidRDefault="00E909AF" w:rsidP="009E42A8">
      <w:pPr>
        <w:spacing w:after="0" w:line="240" w:lineRule="auto"/>
        <w:jc w:val="both"/>
        <w:rPr>
          <w:rFonts w:ascii="Aptos Narrow" w:hAnsi="Aptos Narrow"/>
          <w:i/>
          <w:iCs/>
          <w:sz w:val="24"/>
          <w:szCs w:val="24"/>
        </w:rPr>
      </w:pPr>
      <w:r w:rsidRPr="006C0055">
        <w:rPr>
          <w:rFonts w:ascii="Aptos Narrow" w:hAnsi="Aptos Narrow"/>
          <w:i/>
          <w:iCs/>
          <w:sz w:val="24"/>
          <w:szCs w:val="24"/>
        </w:rPr>
        <w:t xml:space="preserve">  </w:t>
      </w:r>
    </w:p>
    <w:p w14:paraId="52E8F835" w14:textId="1949D029" w:rsidR="00E909AF" w:rsidRPr="006C0055" w:rsidRDefault="00E909AF" w:rsidP="009E42A8">
      <w:pPr>
        <w:spacing w:after="0" w:line="240" w:lineRule="auto"/>
        <w:jc w:val="both"/>
        <w:rPr>
          <w:rFonts w:ascii="Aptos Narrow" w:hAnsi="Aptos Narrow"/>
          <w:i/>
          <w:iCs/>
          <w:sz w:val="24"/>
          <w:szCs w:val="24"/>
        </w:rPr>
      </w:pPr>
      <w:r w:rsidRPr="006C0055">
        <w:rPr>
          <w:rFonts w:ascii="Aptos Narrow" w:hAnsi="Aptos Narrow"/>
          <w:i/>
          <w:iCs/>
          <w:sz w:val="24"/>
          <w:szCs w:val="24"/>
        </w:rPr>
        <w:t xml:space="preserve">The Board of Supervisors of the County of </w:t>
      </w:r>
      <w:r w:rsidR="00886B67" w:rsidRPr="006C0055">
        <w:rPr>
          <w:rFonts w:ascii="Aptos Narrow" w:hAnsi="Aptos Narrow"/>
          <w:i/>
          <w:iCs/>
          <w:sz w:val="24"/>
          <w:szCs w:val="24"/>
          <w:highlight w:val="cyan"/>
        </w:rPr>
        <w:t>[County Name]</w:t>
      </w:r>
      <w:r w:rsidRPr="006C0055">
        <w:rPr>
          <w:rFonts w:ascii="Aptos Narrow" w:hAnsi="Aptos Narrow"/>
          <w:i/>
          <w:iCs/>
          <w:sz w:val="24"/>
          <w:szCs w:val="24"/>
        </w:rPr>
        <w:t xml:space="preserve">, State of California, does hereby designate </w:t>
      </w:r>
      <w:proofErr w:type="gramStart"/>
      <w:r w:rsidRPr="006C0055">
        <w:rPr>
          <w:rFonts w:ascii="Aptos Narrow" w:hAnsi="Aptos Narrow"/>
          <w:i/>
          <w:iCs/>
          <w:sz w:val="24"/>
          <w:szCs w:val="24"/>
        </w:rPr>
        <w:t>the</w:t>
      </w:r>
      <w:r w:rsidR="00886B67" w:rsidRPr="006C0055">
        <w:rPr>
          <w:rFonts w:ascii="Aptos Narrow" w:hAnsi="Aptos Narrow"/>
          <w:i/>
          <w:iCs/>
          <w:sz w:val="24"/>
          <w:szCs w:val="24"/>
        </w:rPr>
        <w:t xml:space="preserve"> </w:t>
      </w:r>
      <w:r w:rsidR="00886B67" w:rsidRPr="006C0055">
        <w:rPr>
          <w:rFonts w:ascii="Aptos Narrow" w:hAnsi="Aptos Narrow"/>
          <w:i/>
          <w:iCs/>
          <w:sz w:val="24"/>
          <w:szCs w:val="24"/>
          <w:highlight w:val="cyan"/>
        </w:rPr>
        <w:t>[County Name]</w:t>
      </w:r>
      <w:proofErr w:type="gramEnd"/>
      <w:r w:rsidRPr="006C0055">
        <w:rPr>
          <w:rFonts w:ascii="Aptos Narrow" w:hAnsi="Aptos Narrow"/>
          <w:i/>
          <w:iCs/>
          <w:sz w:val="24"/>
          <w:szCs w:val="24"/>
        </w:rPr>
        <w:t xml:space="preserve"> County Agricultural Commissioner to be the local public entity to receive funds allocated by the California Department of Food and Agriculture for local assistance </w:t>
      </w:r>
      <w:proofErr w:type="gramStart"/>
      <w:r w:rsidRPr="006C0055">
        <w:rPr>
          <w:rFonts w:ascii="Aptos Narrow" w:hAnsi="Aptos Narrow"/>
          <w:i/>
          <w:iCs/>
          <w:sz w:val="24"/>
          <w:szCs w:val="24"/>
        </w:rPr>
        <w:t>in regard to</w:t>
      </w:r>
      <w:proofErr w:type="gramEnd"/>
      <w:r w:rsidRPr="006C0055">
        <w:rPr>
          <w:rFonts w:ascii="Aptos Narrow" w:hAnsi="Aptos Narrow"/>
          <w:i/>
          <w:iCs/>
          <w:sz w:val="24"/>
          <w:szCs w:val="24"/>
        </w:rPr>
        <w:t xml:space="preserve"> Pierce’s Disease and its vectors, and other designated pests and diseases.</w:t>
      </w:r>
    </w:p>
    <w:p w14:paraId="146CEA55" w14:textId="77777777" w:rsidR="00C90868" w:rsidRPr="006C0055" w:rsidRDefault="00C90868" w:rsidP="009E42A8">
      <w:pPr>
        <w:spacing w:after="0" w:line="240" w:lineRule="auto"/>
        <w:jc w:val="both"/>
        <w:rPr>
          <w:rFonts w:ascii="Aptos Narrow" w:hAnsi="Aptos Narrow"/>
          <w:i/>
          <w:iCs/>
          <w:sz w:val="24"/>
          <w:szCs w:val="24"/>
        </w:rPr>
      </w:pPr>
    </w:p>
    <w:p w14:paraId="4493C3D5" w14:textId="0986B98E" w:rsidR="00C90868" w:rsidRPr="006C0055" w:rsidRDefault="00C90868" w:rsidP="009E42A8">
      <w:pPr>
        <w:spacing w:after="0" w:line="240" w:lineRule="auto"/>
        <w:jc w:val="both"/>
        <w:rPr>
          <w:rFonts w:ascii="Aptos Narrow" w:hAnsi="Aptos Narrow"/>
          <w:i/>
          <w:iCs/>
          <w:sz w:val="24"/>
          <w:szCs w:val="24"/>
        </w:rPr>
      </w:pPr>
      <w:r w:rsidRPr="006C0055">
        <w:rPr>
          <w:rFonts w:ascii="Aptos Narrow" w:hAnsi="Aptos Narrow"/>
          <w:i/>
          <w:iCs/>
          <w:sz w:val="24"/>
          <w:szCs w:val="24"/>
        </w:rPr>
        <w:t>OR</w:t>
      </w:r>
    </w:p>
    <w:p w14:paraId="29E14343" w14:textId="77777777" w:rsidR="00C90868" w:rsidRPr="006C0055" w:rsidRDefault="00C90868" w:rsidP="009E42A8">
      <w:pPr>
        <w:spacing w:after="0" w:line="240" w:lineRule="auto"/>
        <w:jc w:val="both"/>
        <w:rPr>
          <w:rFonts w:ascii="Aptos Narrow" w:hAnsi="Aptos Narrow"/>
          <w:i/>
          <w:iCs/>
          <w:sz w:val="24"/>
          <w:szCs w:val="24"/>
        </w:rPr>
      </w:pPr>
    </w:p>
    <w:p w14:paraId="4F2A9E61" w14:textId="53AF8B46" w:rsidR="00E909AF" w:rsidRPr="006C0055" w:rsidRDefault="00E909AF" w:rsidP="009E42A8">
      <w:pPr>
        <w:spacing w:after="0" w:line="240" w:lineRule="auto"/>
        <w:jc w:val="both"/>
        <w:rPr>
          <w:rFonts w:ascii="Aptos Narrow" w:hAnsi="Aptos Narrow"/>
          <w:i/>
          <w:iCs/>
          <w:sz w:val="24"/>
          <w:szCs w:val="24"/>
        </w:rPr>
      </w:pPr>
      <w:r w:rsidRPr="006C0055">
        <w:rPr>
          <w:rFonts w:ascii="Aptos Narrow" w:hAnsi="Aptos Narrow"/>
          <w:i/>
          <w:iCs/>
          <w:caps/>
          <w:sz w:val="24"/>
          <w:szCs w:val="24"/>
        </w:rPr>
        <w:t>If the Minute Order or Board Resolution cannot be provided with the proposed workplan, include the following statement</w:t>
      </w:r>
      <w:r w:rsidRPr="006C0055">
        <w:rPr>
          <w:rFonts w:ascii="Aptos Narrow" w:hAnsi="Aptos Narrow"/>
          <w:i/>
          <w:iCs/>
          <w:sz w:val="24"/>
          <w:szCs w:val="24"/>
        </w:rPr>
        <w:t>:</w:t>
      </w:r>
    </w:p>
    <w:p w14:paraId="2BA85484" w14:textId="77777777" w:rsidR="00E909AF" w:rsidRPr="006C0055" w:rsidRDefault="00E909AF" w:rsidP="009E42A8">
      <w:pPr>
        <w:spacing w:after="0" w:line="240" w:lineRule="auto"/>
        <w:jc w:val="both"/>
        <w:rPr>
          <w:rFonts w:ascii="Aptos Narrow" w:hAnsi="Aptos Narrow"/>
          <w:i/>
          <w:iCs/>
          <w:sz w:val="24"/>
          <w:szCs w:val="24"/>
        </w:rPr>
      </w:pPr>
    </w:p>
    <w:p w14:paraId="5F9A6F6B" w14:textId="28484A2D" w:rsidR="009E42A8" w:rsidRPr="006C0055" w:rsidRDefault="00E909AF" w:rsidP="009E42A8">
      <w:pPr>
        <w:spacing w:after="0" w:line="240" w:lineRule="auto"/>
        <w:jc w:val="both"/>
        <w:rPr>
          <w:rFonts w:ascii="Aptos Narrow" w:hAnsi="Aptos Narrow"/>
          <w:i/>
          <w:iCs/>
          <w:sz w:val="24"/>
          <w:szCs w:val="24"/>
        </w:rPr>
      </w:pPr>
      <w:r w:rsidRPr="006C0055">
        <w:rPr>
          <w:rFonts w:ascii="Aptos Narrow" w:hAnsi="Aptos Narrow"/>
          <w:i/>
          <w:iCs/>
          <w:sz w:val="24"/>
          <w:szCs w:val="24"/>
        </w:rPr>
        <w:t>The Minute Order or Board Resolution will be returned to CDFA with the signed agreement.</w:t>
      </w:r>
    </w:p>
    <w:p w14:paraId="310858ED" w14:textId="0AF3457B" w:rsidR="00E909AF" w:rsidRPr="006C0055" w:rsidRDefault="009E42A8" w:rsidP="009E42A8">
      <w:pPr>
        <w:rPr>
          <w:rFonts w:ascii="Aptos Narrow" w:hAnsi="Aptos Narrow"/>
          <w:i/>
          <w:iCs/>
          <w:sz w:val="24"/>
          <w:szCs w:val="24"/>
        </w:rPr>
      </w:pPr>
      <w:r w:rsidRPr="006C0055">
        <w:rPr>
          <w:rFonts w:ascii="Aptos Narrow" w:hAnsi="Aptos Narrow"/>
          <w:i/>
          <w:iCs/>
          <w:sz w:val="24"/>
          <w:szCs w:val="24"/>
        </w:rPr>
        <w:br w:type="page"/>
      </w:r>
    </w:p>
    <w:p w14:paraId="0671CEB3" w14:textId="77777777" w:rsidR="00E909AF" w:rsidRPr="006C0055" w:rsidRDefault="00E909AF" w:rsidP="00C5182A">
      <w:pPr>
        <w:spacing w:after="0" w:line="240" w:lineRule="auto"/>
        <w:jc w:val="center"/>
        <w:rPr>
          <w:rFonts w:ascii="Aptos Narrow" w:hAnsi="Aptos Narrow"/>
          <w:b/>
          <w:bCs/>
          <w:sz w:val="24"/>
          <w:szCs w:val="24"/>
        </w:rPr>
      </w:pPr>
      <w:r w:rsidRPr="006C0055">
        <w:rPr>
          <w:rFonts w:ascii="Aptos Narrow" w:hAnsi="Aptos Narrow"/>
          <w:b/>
          <w:bCs/>
          <w:sz w:val="24"/>
          <w:szCs w:val="24"/>
        </w:rPr>
        <w:lastRenderedPageBreak/>
        <w:t>PIERCE’S DISEASE CONTROL PROGRAM</w:t>
      </w:r>
    </w:p>
    <w:p w14:paraId="0D7CEDAD" w14:textId="77777777" w:rsidR="00C5182A" w:rsidRPr="006C0055" w:rsidRDefault="00C5182A" w:rsidP="00C5182A">
      <w:pPr>
        <w:spacing w:after="0" w:line="240" w:lineRule="auto"/>
        <w:jc w:val="center"/>
        <w:rPr>
          <w:rFonts w:ascii="Aptos Narrow" w:hAnsi="Aptos Narrow"/>
          <w:b/>
          <w:bCs/>
          <w:sz w:val="24"/>
          <w:szCs w:val="24"/>
        </w:rPr>
      </w:pPr>
    </w:p>
    <w:p w14:paraId="57135B74" w14:textId="77777777" w:rsidR="00E909AF" w:rsidRPr="006C0055" w:rsidRDefault="00E909AF" w:rsidP="00C5182A">
      <w:pPr>
        <w:spacing w:after="0" w:line="240" w:lineRule="auto"/>
        <w:jc w:val="center"/>
        <w:rPr>
          <w:rFonts w:ascii="Aptos Narrow" w:hAnsi="Aptos Narrow"/>
          <w:b/>
          <w:bCs/>
          <w:sz w:val="24"/>
          <w:szCs w:val="24"/>
        </w:rPr>
      </w:pPr>
      <w:r w:rsidRPr="006C0055">
        <w:rPr>
          <w:rFonts w:ascii="Aptos Narrow" w:hAnsi="Aptos Narrow"/>
          <w:b/>
          <w:bCs/>
          <w:sz w:val="24"/>
          <w:szCs w:val="24"/>
        </w:rPr>
        <w:t>LOCAL PUBLIC ENTITY’S DESIGNATED PIERCE’S DISEASE CONTROL PROGRAM COORDINATOR AND CONTACT INFORMATION</w:t>
      </w:r>
    </w:p>
    <w:p w14:paraId="5ABF4200" w14:textId="77777777" w:rsidR="00C5182A" w:rsidRPr="006C0055" w:rsidRDefault="00C5182A" w:rsidP="00E909AF">
      <w:pPr>
        <w:spacing w:after="0" w:line="240" w:lineRule="auto"/>
        <w:rPr>
          <w:rFonts w:ascii="Aptos Narrow" w:hAnsi="Aptos Narrow"/>
          <w:sz w:val="24"/>
          <w:szCs w:val="24"/>
        </w:rPr>
      </w:pPr>
    </w:p>
    <w:p w14:paraId="0CEF22DF" w14:textId="77777777" w:rsidR="00C5182A" w:rsidRPr="006C0055" w:rsidRDefault="00C5182A" w:rsidP="00E909AF">
      <w:pPr>
        <w:spacing w:after="0" w:line="240" w:lineRule="auto"/>
        <w:rPr>
          <w:rFonts w:ascii="Aptos Narrow" w:hAnsi="Aptos Narrow"/>
          <w:sz w:val="24"/>
          <w:szCs w:val="24"/>
        </w:rPr>
      </w:pPr>
    </w:p>
    <w:p w14:paraId="1CA85459" w14:textId="77777777" w:rsidR="00E909AF" w:rsidRPr="006C0055" w:rsidRDefault="00E909AF" w:rsidP="00E909AF">
      <w:pPr>
        <w:spacing w:after="0" w:line="240" w:lineRule="auto"/>
        <w:rPr>
          <w:rFonts w:ascii="Aptos Narrow" w:hAnsi="Aptos Narrow"/>
          <w:sz w:val="24"/>
          <w:szCs w:val="24"/>
        </w:rPr>
      </w:pPr>
      <w:r w:rsidRPr="006C0055">
        <w:rPr>
          <w:rFonts w:ascii="Aptos Narrow" w:hAnsi="Aptos Narrow"/>
          <w:sz w:val="24"/>
          <w:szCs w:val="24"/>
        </w:rPr>
        <w:t>PRIMARY CONTACT:</w:t>
      </w:r>
    </w:p>
    <w:tbl>
      <w:tblPr>
        <w:tblStyle w:val="TableGrid"/>
        <w:tblW w:w="0" w:type="auto"/>
        <w:tblLook w:val="04A0" w:firstRow="1" w:lastRow="0" w:firstColumn="1" w:lastColumn="0" w:noHBand="0" w:noVBand="1"/>
      </w:tblPr>
      <w:tblGrid>
        <w:gridCol w:w="1255"/>
        <w:gridCol w:w="8095"/>
      </w:tblGrid>
      <w:tr w:rsidR="00C5182A" w:rsidRPr="006C0055" w14:paraId="05A107B6" w14:textId="77777777" w:rsidTr="00C5182A">
        <w:tc>
          <w:tcPr>
            <w:tcW w:w="1255" w:type="dxa"/>
          </w:tcPr>
          <w:p w14:paraId="212038FA" w14:textId="2E9620FC" w:rsidR="00C5182A" w:rsidRPr="006C0055" w:rsidRDefault="00C5182A" w:rsidP="00C5182A">
            <w:pPr>
              <w:jc w:val="right"/>
              <w:rPr>
                <w:rFonts w:ascii="Aptos Narrow" w:hAnsi="Aptos Narrow"/>
                <w:sz w:val="24"/>
                <w:szCs w:val="24"/>
              </w:rPr>
            </w:pPr>
            <w:r w:rsidRPr="006C0055">
              <w:rPr>
                <w:rFonts w:ascii="Aptos Narrow" w:hAnsi="Aptos Narrow"/>
                <w:sz w:val="24"/>
                <w:szCs w:val="24"/>
              </w:rPr>
              <w:t>Name</w:t>
            </w:r>
          </w:p>
        </w:tc>
        <w:tc>
          <w:tcPr>
            <w:tcW w:w="8095" w:type="dxa"/>
          </w:tcPr>
          <w:p w14:paraId="6C369939" w14:textId="00EB92E7" w:rsidR="00C5182A" w:rsidRPr="006C0055" w:rsidRDefault="00886B67" w:rsidP="00E909AF">
            <w:pPr>
              <w:rPr>
                <w:rFonts w:ascii="Aptos Narrow" w:hAnsi="Aptos Narrow"/>
                <w:sz w:val="24"/>
                <w:szCs w:val="24"/>
                <w:highlight w:val="cyan"/>
              </w:rPr>
            </w:pPr>
            <w:r w:rsidRPr="006C0055">
              <w:rPr>
                <w:rFonts w:ascii="Aptos Narrow" w:hAnsi="Aptos Narrow"/>
                <w:sz w:val="24"/>
                <w:szCs w:val="24"/>
                <w:highlight w:val="cyan"/>
              </w:rPr>
              <w:t>[Primary Contact Name]</w:t>
            </w:r>
          </w:p>
        </w:tc>
      </w:tr>
      <w:tr w:rsidR="00C5182A" w:rsidRPr="006C0055" w14:paraId="6302B1A8" w14:textId="77777777" w:rsidTr="00C5182A">
        <w:tc>
          <w:tcPr>
            <w:tcW w:w="1255" w:type="dxa"/>
          </w:tcPr>
          <w:p w14:paraId="0DB18918" w14:textId="6D359C0B" w:rsidR="00C5182A" w:rsidRPr="006C0055" w:rsidRDefault="00C5182A" w:rsidP="00C5182A">
            <w:pPr>
              <w:jc w:val="right"/>
              <w:rPr>
                <w:rFonts w:ascii="Aptos Narrow" w:hAnsi="Aptos Narrow"/>
                <w:sz w:val="24"/>
                <w:szCs w:val="24"/>
              </w:rPr>
            </w:pPr>
            <w:r w:rsidRPr="006C0055">
              <w:rPr>
                <w:rFonts w:ascii="Aptos Narrow" w:hAnsi="Aptos Narrow"/>
                <w:sz w:val="24"/>
                <w:szCs w:val="24"/>
              </w:rPr>
              <w:t>Address</w:t>
            </w:r>
          </w:p>
        </w:tc>
        <w:tc>
          <w:tcPr>
            <w:tcW w:w="8095" w:type="dxa"/>
          </w:tcPr>
          <w:p w14:paraId="6EE50521" w14:textId="547ADE31" w:rsidR="00C5182A" w:rsidRPr="006C0055" w:rsidRDefault="00886B67" w:rsidP="00E909AF">
            <w:pPr>
              <w:rPr>
                <w:rFonts w:ascii="Aptos Narrow" w:hAnsi="Aptos Narrow"/>
                <w:sz w:val="24"/>
                <w:szCs w:val="24"/>
                <w:highlight w:val="cyan"/>
              </w:rPr>
            </w:pPr>
            <w:r w:rsidRPr="006C0055">
              <w:rPr>
                <w:rFonts w:ascii="Aptos Narrow" w:hAnsi="Aptos Narrow"/>
                <w:sz w:val="24"/>
                <w:szCs w:val="24"/>
                <w:highlight w:val="cyan"/>
              </w:rPr>
              <w:t>[Primary Contact Address]</w:t>
            </w:r>
          </w:p>
        </w:tc>
      </w:tr>
      <w:tr w:rsidR="00C5182A" w:rsidRPr="006C0055" w14:paraId="05A16E01" w14:textId="77777777" w:rsidTr="00C5182A">
        <w:tc>
          <w:tcPr>
            <w:tcW w:w="1255" w:type="dxa"/>
          </w:tcPr>
          <w:p w14:paraId="79665ECE" w14:textId="0A0224E2" w:rsidR="00C5182A" w:rsidRPr="006C0055" w:rsidRDefault="00C5182A" w:rsidP="00C5182A">
            <w:pPr>
              <w:jc w:val="right"/>
              <w:rPr>
                <w:rFonts w:ascii="Aptos Narrow" w:hAnsi="Aptos Narrow"/>
                <w:sz w:val="24"/>
                <w:szCs w:val="24"/>
              </w:rPr>
            </w:pPr>
            <w:r w:rsidRPr="006C0055">
              <w:rPr>
                <w:rFonts w:ascii="Aptos Narrow" w:hAnsi="Aptos Narrow"/>
                <w:sz w:val="24"/>
                <w:szCs w:val="24"/>
              </w:rPr>
              <w:t>Phone</w:t>
            </w:r>
          </w:p>
        </w:tc>
        <w:tc>
          <w:tcPr>
            <w:tcW w:w="8095" w:type="dxa"/>
          </w:tcPr>
          <w:p w14:paraId="675010CD" w14:textId="313AD5C8" w:rsidR="00C5182A" w:rsidRPr="006C0055" w:rsidRDefault="00886B67" w:rsidP="00E909AF">
            <w:pPr>
              <w:rPr>
                <w:rFonts w:ascii="Aptos Narrow" w:hAnsi="Aptos Narrow"/>
                <w:sz w:val="24"/>
                <w:szCs w:val="24"/>
                <w:highlight w:val="cyan"/>
              </w:rPr>
            </w:pPr>
            <w:r w:rsidRPr="006C0055">
              <w:rPr>
                <w:rFonts w:ascii="Aptos Narrow" w:hAnsi="Aptos Narrow"/>
                <w:sz w:val="24"/>
                <w:szCs w:val="24"/>
                <w:highlight w:val="cyan"/>
              </w:rPr>
              <w:t>[Primary Contact Phone]</w:t>
            </w:r>
          </w:p>
        </w:tc>
      </w:tr>
      <w:tr w:rsidR="00C5182A" w:rsidRPr="006C0055" w14:paraId="519386CB" w14:textId="77777777" w:rsidTr="00C5182A">
        <w:tc>
          <w:tcPr>
            <w:tcW w:w="1255" w:type="dxa"/>
          </w:tcPr>
          <w:p w14:paraId="1D05D490" w14:textId="338D9124" w:rsidR="00C5182A" w:rsidRPr="006C0055" w:rsidRDefault="00C5182A" w:rsidP="00C5182A">
            <w:pPr>
              <w:jc w:val="right"/>
              <w:rPr>
                <w:rFonts w:ascii="Aptos Narrow" w:hAnsi="Aptos Narrow"/>
                <w:sz w:val="24"/>
                <w:szCs w:val="24"/>
              </w:rPr>
            </w:pPr>
            <w:r w:rsidRPr="006C0055">
              <w:rPr>
                <w:rFonts w:ascii="Aptos Narrow" w:hAnsi="Aptos Narrow"/>
                <w:sz w:val="24"/>
                <w:szCs w:val="24"/>
              </w:rPr>
              <w:t>Fax</w:t>
            </w:r>
          </w:p>
        </w:tc>
        <w:tc>
          <w:tcPr>
            <w:tcW w:w="8095" w:type="dxa"/>
          </w:tcPr>
          <w:p w14:paraId="03B854A2" w14:textId="60CDB6B8" w:rsidR="00C5182A" w:rsidRPr="006C0055" w:rsidRDefault="00886B67" w:rsidP="00E909AF">
            <w:pPr>
              <w:rPr>
                <w:rFonts w:ascii="Aptos Narrow" w:hAnsi="Aptos Narrow"/>
                <w:sz w:val="24"/>
                <w:szCs w:val="24"/>
                <w:highlight w:val="cyan"/>
              </w:rPr>
            </w:pPr>
            <w:r w:rsidRPr="006C0055">
              <w:rPr>
                <w:rFonts w:ascii="Aptos Narrow" w:hAnsi="Aptos Narrow"/>
                <w:sz w:val="24"/>
                <w:szCs w:val="24"/>
                <w:highlight w:val="cyan"/>
              </w:rPr>
              <w:t>[Primary Contact Fax]</w:t>
            </w:r>
          </w:p>
        </w:tc>
      </w:tr>
      <w:tr w:rsidR="00C5182A" w:rsidRPr="006C0055" w14:paraId="2CABBA28" w14:textId="77777777" w:rsidTr="00C5182A">
        <w:tc>
          <w:tcPr>
            <w:tcW w:w="1255" w:type="dxa"/>
          </w:tcPr>
          <w:p w14:paraId="23A6FF93" w14:textId="3B2A24D5" w:rsidR="00C5182A" w:rsidRPr="006C0055" w:rsidRDefault="00C5182A" w:rsidP="00C5182A">
            <w:pPr>
              <w:jc w:val="right"/>
              <w:rPr>
                <w:rFonts w:ascii="Aptos Narrow" w:hAnsi="Aptos Narrow"/>
                <w:sz w:val="24"/>
                <w:szCs w:val="24"/>
              </w:rPr>
            </w:pPr>
            <w:r w:rsidRPr="006C0055">
              <w:rPr>
                <w:rFonts w:ascii="Aptos Narrow" w:hAnsi="Aptos Narrow"/>
                <w:sz w:val="24"/>
                <w:szCs w:val="24"/>
              </w:rPr>
              <w:t>Email</w:t>
            </w:r>
          </w:p>
        </w:tc>
        <w:tc>
          <w:tcPr>
            <w:tcW w:w="8095" w:type="dxa"/>
          </w:tcPr>
          <w:p w14:paraId="58A77E79" w14:textId="41BA5F0C" w:rsidR="00C5182A" w:rsidRPr="006C0055" w:rsidRDefault="00886B67" w:rsidP="00E909AF">
            <w:pPr>
              <w:rPr>
                <w:rFonts w:ascii="Aptos Narrow" w:hAnsi="Aptos Narrow"/>
                <w:sz w:val="24"/>
                <w:szCs w:val="24"/>
                <w:highlight w:val="cyan"/>
              </w:rPr>
            </w:pPr>
            <w:r w:rsidRPr="006C0055">
              <w:rPr>
                <w:rFonts w:ascii="Aptos Narrow" w:hAnsi="Aptos Narrow"/>
                <w:sz w:val="24"/>
                <w:szCs w:val="24"/>
                <w:highlight w:val="cyan"/>
              </w:rPr>
              <w:t>[Primary Contact Email]</w:t>
            </w:r>
          </w:p>
        </w:tc>
      </w:tr>
    </w:tbl>
    <w:p w14:paraId="645B6EA6" w14:textId="77777777" w:rsidR="00C5182A" w:rsidRPr="006C0055" w:rsidRDefault="00C5182A" w:rsidP="00E909AF">
      <w:pPr>
        <w:spacing w:after="0" w:line="240" w:lineRule="auto"/>
        <w:rPr>
          <w:rFonts w:ascii="Aptos Narrow" w:hAnsi="Aptos Narrow"/>
          <w:sz w:val="24"/>
          <w:szCs w:val="24"/>
        </w:rPr>
      </w:pPr>
    </w:p>
    <w:p w14:paraId="2ECC6756" w14:textId="5DCDDBED" w:rsidR="00E909AF" w:rsidRPr="006C0055" w:rsidRDefault="00E909AF" w:rsidP="00E909AF">
      <w:pPr>
        <w:spacing w:after="0" w:line="240" w:lineRule="auto"/>
        <w:rPr>
          <w:rFonts w:ascii="Aptos Narrow" w:hAnsi="Aptos Narrow"/>
          <w:sz w:val="24"/>
          <w:szCs w:val="24"/>
        </w:rPr>
      </w:pPr>
      <w:r w:rsidRPr="006C0055">
        <w:rPr>
          <w:rFonts w:ascii="Aptos Narrow" w:hAnsi="Aptos Narrow"/>
          <w:sz w:val="24"/>
          <w:szCs w:val="24"/>
        </w:rPr>
        <w:t>ALTERNATE CONTACT (IF APPLICABLE)</w:t>
      </w:r>
      <w:r w:rsidR="00C5182A" w:rsidRPr="006C0055">
        <w:rPr>
          <w:rFonts w:ascii="Aptos Narrow" w:hAnsi="Aptos Narrow"/>
          <w:sz w:val="24"/>
          <w:szCs w:val="24"/>
        </w:rPr>
        <w:t>:</w:t>
      </w:r>
    </w:p>
    <w:tbl>
      <w:tblPr>
        <w:tblStyle w:val="TableGrid"/>
        <w:tblW w:w="0" w:type="auto"/>
        <w:tblLook w:val="04A0" w:firstRow="1" w:lastRow="0" w:firstColumn="1" w:lastColumn="0" w:noHBand="0" w:noVBand="1"/>
      </w:tblPr>
      <w:tblGrid>
        <w:gridCol w:w="1255"/>
        <w:gridCol w:w="8095"/>
      </w:tblGrid>
      <w:tr w:rsidR="00C5182A" w:rsidRPr="006C0055" w14:paraId="2291A7D4" w14:textId="77777777" w:rsidTr="00A655E4">
        <w:tc>
          <w:tcPr>
            <w:tcW w:w="1255" w:type="dxa"/>
          </w:tcPr>
          <w:p w14:paraId="3D673126" w14:textId="77777777" w:rsidR="00C5182A" w:rsidRPr="006C0055" w:rsidRDefault="00C5182A" w:rsidP="00A655E4">
            <w:pPr>
              <w:jc w:val="right"/>
              <w:rPr>
                <w:rFonts w:ascii="Aptos Narrow" w:hAnsi="Aptos Narrow"/>
                <w:sz w:val="24"/>
                <w:szCs w:val="24"/>
              </w:rPr>
            </w:pPr>
            <w:r w:rsidRPr="006C0055">
              <w:rPr>
                <w:rFonts w:ascii="Aptos Narrow" w:hAnsi="Aptos Narrow"/>
                <w:sz w:val="24"/>
                <w:szCs w:val="24"/>
              </w:rPr>
              <w:t>Name</w:t>
            </w:r>
          </w:p>
        </w:tc>
        <w:tc>
          <w:tcPr>
            <w:tcW w:w="8095" w:type="dxa"/>
          </w:tcPr>
          <w:p w14:paraId="3AD543AA" w14:textId="4CC6D554" w:rsidR="00C5182A" w:rsidRPr="006C0055" w:rsidRDefault="00886B67" w:rsidP="00A655E4">
            <w:pPr>
              <w:rPr>
                <w:rFonts w:ascii="Aptos Narrow" w:hAnsi="Aptos Narrow"/>
                <w:sz w:val="24"/>
                <w:szCs w:val="24"/>
                <w:highlight w:val="cyan"/>
              </w:rPr>
            </w:pPr>
            <w:r w:rsidRPr="006C0055">
              <w:rPr>
                <w:rFonts w:ascii="Aptos Narrow" w:hAnsi="Aptos Narrow"/>
                <w:sz w:val="24"/>
                <w:szCs w:val="24"/>
                <w:highlight w:val="cyan"/>
              </w:rPr>
              <w:t>[Alternative Contact Name]</w:t>
            </w:r>
          </w:p>
        </w:tc>
      </w:tr>
      <w:tr w:rsidR="00C5182A" w:rsidRPr="006C0055" w14:paraId="1E608117" w14:textId="77777777" w:rsidTr="00A655E4">
        <w:tc>
          <w:tcPr>
            <w:tcW w:w="1255" w:type="dxa"/>
          </w:tcPr>
          <w:p w14:paraId="48E0260A" w14:textId="77777777" w:rsidR="00C5182A" w:rsidRPr="006C0055" w:rsidRDefault="00C5182A" w:rsidP="00A655E4">
            <w:pPr>
              <w:jc w:val="right"/>
              <w:rPr>
                <w:rFonts w:ascii="Aptos Narrow" w:hAnsi="Aptos Narrow"/>
                <w:sz w:val="24"/>
                <w:szCs w:val="24"/>
              </w:rPr>
            </w:pPr>
            <w:r w:rsidRPr="006C0055">
              <w:rPr>
                <w:rFonts w:ascii="Aptos Narrow" w:hAnsi="Aptos Narrow"/>
                <w:sz w:val="24"/>
                <w:szCs w:val="24"/>
              </w:rPr>
              <w:t>Address</w:t>
            </w:r>
          </w:p>
        </w:tc>
        <w:tc>
          <w:tcPr>
            <w:tcW w:w="8095" w:type="dxa"/>
          </w:tcPr>
          <w:p w14:paraId="5A20260C" w14:textId="47D1527A" w:rsidR="00C5182A" w:rsidRPr="006C0055" w:rsidRDefault="00886B67" w:rsidP="00A655E4">
            <w:pPr>
              <w:rPr>
                <w:rFonts w:ascii="Aptos Narrow" w:hAnsi="Aptos Narrow"/>
                <w:sz w:val="24"/>
                <w:szCs w:val="24"/>
                <w:highlight w:val="cyan"/>
              </w:rPr>
            </w:pPr>
            <w:r w:rsidRPr="006C0055">
              <w:rPr>
                <w:rFonts w:ascii="Aptos Narrow" w:hAnsi="Aptos Narrow"/>
                <w:sz w:val="24"/>
                <w:szCs w:val="24"/>
                <w:highlight w:val="cyan"/>
              </w:rPr>
              <w:t>[Alternative Contact Address]</w:t>
            </w:r>
          </w:p>
        </w:tc>
      </w:tr>
      <w:tr w:rsidR="00C5182A" w:rsidRPr="006C0055" w14:paraId="2A263B8C" w14:textId="77777777" w:rsidTr="00A655E4">
        <w:tc>
          <w:tcPr>
            <w:tcW w:w="1255" w:type="dxa"/>
          </w:tcPr>
          <w:p w14:paraId="774503F4" w14:textId="77777777" w:rsidR="00C5182A" w:rsidRPr="006C0055" w:rsidRDefault="00C5182A" w:rsidP="00A655E4">
            <w:pPr>
              <w:jc w:val="right"/>
              <w:rPr>
                <w:rFonts w:ascii="Aptos Narrow" w:hAnsi="Aptos Narrow"/>
                <w:sz w:val="24"/>
                <w:szCs w:val="24"/>
              </w:rPr>
            </w:pPr>
            <w:r w:rsidRPr="006C0055">
              <w:rPr>
                <w:rFonts w:ascii="Aptos Narrow" w:hAnsi="Aptos Narrow"/>
                <w:sz w:val="24"/>
                <w:szCs w:val="24"/>
              </w:rPr>
              <w:t>Phone</w:t>
            </w:r>
          </w:p>
        </w:tc>
        <w:tc>
          <w:tcPr>
            <w:tcW w:w="8095" w:type="dxa"/>
          </w:tcPr>
          <w:p w14:paraId="2DB5951D" w14:textId="7F3678D4" w:rsidR="00C5182A" w:rsidRPr="006C0055" w:rsidRDefault="00886B67" w:rsidP="00A655E4">
            <w:pPr>
              <w:rPr>
                <w:rFonts w:ascii="Aptos Narrow" w:hAnsi="Aptos Narrow"/>
                <w:sz w:val="24"/>
                <w:szCs w:val="24"/>
                <w:highlight w:val="cyan"/>
              </w:rPr>
            </w:pPr>
            <w:r w:rsidRPr="006C0055">
              <w:rPr>
                <w:rFonts w:ascii="Aptos Narrow" w:hAnsi="Aptos Narrow"/>
                <w:sz w:val="24"/>
                <w:szCs w:val="24"/>
                <w:highlight w:val="cyan"/>
              </w:rPr>
              <w:t>[Alternative Contact Phone]</w:t>
            </w:r>
          </w:p>
        </w:tc>
      </w:tr>
      <w:tr w:rsidR="00C5182A" w:rsidRPr="006C0055" w14:paraId="39643BFF" w14:textId="77777777" w:rsidTr="00A655E4">
        <w:tc>
          <w:tcPr>
            <w:tcW w:w="1255" w:type="dxa"/>
          </w:tcPr>
          <w:p w14:paraId="17C744AD" w14:textId="77777777" w:rsidR="00C5182A" w:rsidRPr="006C0055" w:rsidRDefault="00C5182A" w:rsidP="00A655E4">
            <w:pPr>
              <w:jc w:val="right"/>
              <w:rPr>
                <w:rFonts w:ascii="Aptos Narrow" w:hAnsi="Aptos Narrow"/>
                <w:sz w:val="24"/>
                <w:szCs w:val="24"/>
              </w:rPr>
            </w:pPr>
            <w:r w:rsidRPr="006C0055">
              <w:rPr>
                <w:rFonts w:ascii="Aptos Narrow" w:hAnsi="Aptos Narrow"/>
                <w:sz w:val="24"/>
                <w:szCs w:val="24"/>
              </w:rPr>
              <w:t>Fax</w:t>
            </w:r>
          </w:p>
        </w:tc>
        <w:tc>
          <w:tcPr>
            <w:tcW w:w="8095" w:type="dxa"/>
          </w:tcPr>
          <w:p w14:paraId="52A25A04" w14:textId="16E86D15" w:rsidR="00C5182A" w:rsidRPr="006C0055" w:rsidRDefault="00886B67" w:rsidP="00A655E4">
            <w:pPr>
              <w:rPr>
                <w:rFonts w:ascii="Aptos Narrow" w:hAnsi="Aptos Narrow"/>
                <w:sz w:val="24"/>
                <w:szCs w:val="24"/>
                <w:highlight w:val="cyan"/>
              </w:rPr>
            </w:pPr>
            <w:r w:rsidRPr="006C0055">
              <w:rPr>
                <w:rFonts w:ascii="Aptos Narrow" w:hAnsi="Aptos Narrow"/>
                <w:sz w:val="24"/>
                <w:szCs w:val="24"/>
                <w:highlight w:val="cyan"/>
              </w:rPr>
              <w:t>[Alternative Contact Fax]</w:t>
            </w:r>
          </w:p>
        </w:tc>
      </w:tr>
      <w:tr w:rsidR="00C5182A" w:rsidRPr="006C0055" w14:paraId="5A687B80" w14:textId="77777777" w:rsidTr="00886B67">
        <w:trPr>
          <w:trHeight w:val="197"/>
        </w:trPr>
        <w:tc>
          <w:tcPr>
            <w:tcW w:w="1255" w:type="dxa"/>
          </w:tcPr>
          <w:p w14:paraId="555E78BB" w14:textId="77777777" w:rsidR="00C5182A" w:rsidRPr="006C0055" w:rsidRDefault="00C5182A" w:rsidP="00A655E4">
            <w:pPr>
              <w:jc w:val="right"/>
              <w:rPr>
                <w:rFonts w:ascii="Aptos Narrow" w:hAnsi="Aptos Narrow"/>
                <w:sz w:val="24"/>
                <w:szCs w:val="24"/>
              </w:rPr>
            </w:pPr>
            <w:r w:rsidRPr="006C0055">
              <w:rPr>
                <w:rFonts w:ascii="Aptos Narrow" w:hAnsi="Aptos Narrow"/>
                <w:sz w:val="24"/>
                <w:szCs w:val="24"/>
              </w:rPr>
              <w:t>Email</w:t>
            </w:r>
          </w:p>
        </w:tc>
        <w:tc>
          <w:tcPr>
            <w:tcW w:w="8095" w:type="dxa"/>
          </w:tcPr>
          <w:p w14:paraId="244A88A2" w14:textId="5685BC10" w:rsidR="00C5182A" w:rsidRPr="006C0055" w:rsidRDefault="00886B67" w:rsidP="00A655E4">
            <w:pPr>
              <w:rPr>
                <w:rFonts w:ascii="Aptos Narrow" w:hAnsi="Aptos Narrow"/>
                <w:sz w:val="24"/>
                <w:szCs w:val="24"/>
                <w:highlight w:val="cyan"/>
              </w:rPr>
            </w:pPr>
            <w:r w:rsidRPr="006C0055">
              <w:rPr>
                <w:rFonts w:ascii="Aptos Narrow" w:hAnsi="Aptos Narrow"/>
                <w:sz w:val="24"/>
                <w:szCs w:val="24"/>
                <w:highlight w:val="cyan"/>
              </w:rPr>
              <w:t>[Alternative Contact Email]</w:t>
            </w:r>
          </w:p>
        </w:tc>
      </w:tr>
    </w:tbl>
    <w:p w14:paraId="1FFB1008" w14:textId="77777777" w:rsidR="00C5182A" w:rsidRPr="006C0055" w:rsidRDefault="00C5182A">
      <w:pPr>
        <w:rPr>
          <w:rFonts w:ascii="Aptos Narrow" w:hAnsi="Aptos Narrow"/>
          <w:sz w:val="24"/>
          <w:szCs w:val="24"/>
        </w:rPr>
      </w:pPr>
      <w:r w:rsidRPr="006C0055">
        <w:rPr>
          <w:rFonts w:ascii="Aptos Narrow" w:hAnsi="Aptos Narrow"/>
          <w:sz w:val="24"/>
          <w:szCs w:val="24"/>
        </w:rPr>
        <w:br w:type="page"/>
      </w:r>
    </w:p>
    <w:p w14:paraId="50542F47" w14:textId="745992A8" w:rsidR="00E909AF" w:rsidRPr="006C0055" w:rsidRDefault="00E909AF" w:rsidP="00D0219A">
      <w:pPr>
        <w:spacing w:after="0" w:line="240" w:lineRule="auto"/>
        <w:jc w:val="center"/>
        <w:rPr>
          <w:rFonts w:ascii="Aptos Narrow" w:hAnsi="Aptos Narrow"/>
          <w:b/>
          <w:bCs/>
          <w:sz w:val="24"/>
          <w:szCs w:val="24"/>
        </w:rPr>
      </w:pPr>
      <w:r w:rsidRPr="006C0055">
        <w:rPr>
          <w:rFonts w:ascii="Aptos Narrow" w:hAnsi="Aptos Narrow"/>
          <w:b/>
          <w:bCs/>
          <w:sz w:val="24"/>
          <w:szCs w:val="24"/>
        </w:rPr>
        <w:lastRenderedPageBreak/>
        <w:t>PIERCE’S DISEASE CONTROL PROGRAM</w:t>
      </w:r>
    </w:p>
    <w:p w14:paraId="0B6C6E5F" w14:textId="77777777" w:rsidR="00C5182A" w:rsidRPr="006C0055" w:rsidRDefault="00C5182A" w:rsidP="00BF29B0">
      <w:pPr>
        <w:spacing w:after="0" w:line="240" w:lineRule="auto"/>
        <w:rPr>
          <w:rFonts w:ascii="Aptos Narrow" w:hAnsi="Aptos Narrow"/>
          <w:b/>
          <w:bCs/>
          <w:sz w:val="24"/>
          <w:szCs w:val="24"/>
        </w:rPr>
      </w:pPr>
    </w:p>
    <w:p w14:paraId="48A69906" w14:textId="5EDBE012" w:rsidR="00E909AF" w:rsidRPr="006C0055" w:rsidRDefault="00BF29B0" w:rsidP="00D0219A">
      <w:pPr>
        <w:spacing w:after="0" w:line="240" w:lineRule="auto"/>
        <w:jc w:val="center"/>
        <w:rPr>
          <w:rFonts w:ascii="Aptos Narrow" w:hAnsi="Aptos Narrow"/>
          <w:b/>
          <w:bCs/>
          <w:sz w:val="24"/>
          <w:szCs w:val="24"/>
        </w:rPr>
      </w:pPr>
      <w:r w:rsidRPr="006C0055">
        <w:rPr>
          <w:rFonts w:ascii="Aptos Narrow" w:hAnsi="Aptos Narrow"/>
          <w:b/>
          <w:bCs/>
          <w:sz w:val="24"/>
          <w:szCs w:val="24"/>
        </w:rPr>
        <w:t xml:space="preserve">WORKPLAN FOR FY </w:t>
      </w:r>
      <w:r w:rsidR="008E17C0" w:rsidRPr="006C0055">
        <w:rPr>
          <w:rFonts w:ascii="Aptos Narrow" w:hAnsi="Aptos Narrow"/>
          <w:b/>
          <w:bCs/>
          <w:sz w:val="24"/>
          <w:szCs w:val="24"/>
        </w:rPr>
        <w:t>202</w:t>
      </w:r>
      <w:r w:rsidR="008E17C0">
        <w:rPr>
          <w:rFonts w:ascii="Aptos Narrow" w:hAnsi="Aptos Narrow"/>
          <w:b/>
          <w:bCs/>
          <w:sz w:val="24"/>
          <w:szCs w:val="24"/>
        </w:rPr>
        <w:t>5-2026 and 2026-2027 (Jul-Sep 2026)</w:t>
      </w:r>
    </w:p>
    <w:p w14:paraId="6811EDFA" w14:textId="77777777" w:rsidR="00D0219A" w:rsidRPr="006C0055" w:rsidRDefault="00D0219A" w:rsidP="00D0219A">
      <w:pPr>
        <w:spacing w:after="0" w:line="240" w:lineRule="auto"/>
        <w:jc w:val="center"/>
        <w:rPr>
          <w:rFonts w:ascii="Aptos Narrow" w:hAnsi="Aptos Narrow"/>
          <w:b/>
          <w:bCs/>
          <w:sz w:val="24"/>
          <w:szCs w:val="24"/>
        </w:rPr>
      </w:pPr>
    </w:p>
    <w:p w14:paraId="3A495A0A" w14:textId="6D1C2E36" w:rsidR="00E909AF" w:rsidRPr="006C0055" w:rsidRDefault="00D0219A" w:rsidP="00D0219A">
      <w:pPr>
        <w:spacing w:after="0" w:line="240" w:lineRule="auto"/>
        <w:jc w:val="center"/>
        <w:rPr>
          <w:rFonts w:ascii="Aptos Narrow" w:hAnsi="Aptos Narrow"/>
          <w:b/>
          <w:bCs/>
          <w:sz w:val="24"/>
          <w:szCs w:val="24"/>
        </w:rPr>
      </w:pPr>
      <w:r w:rsidRPr="006C0055">
        <w:rPr>
          <w:rFonts w:ascii="Aptos Narrow" w:hAnsi="Aptos Narrow"/>
          <w:b/>
          <w:bCs/>
          <w:sz w:val="24"/>
          <w:szCs w:val="24"/>
          <w:highlight w:val="cyan"/>
        </w:rPr>
        <w:t>[COUNTY NAME]</w:t>
      </w:r>
      <w:r w:rsidRPr="006C0055">
        <w:rPr>
          <w:rFonts w:ascii="Aptos Narrow" w:hAnsi="Aptos Narrow"/>
          <w:b/>
          <w:bCs/>
          <w:sz w:val="24"/>
          <w:szCs w:val="24"/>
        </w:rPr>
        <w:t xml:space="preserve"> </w:t>
      </w:r>
      <w:r w:rsidR="00E909AF" w:rsidRPr="006C0055">
        <w:rPr>
          <w:rFonts w:ascii="Aptos Narrow" w:hAnsi="Aptos Narrow"/>
          <w:b/>
          <w:bCs/>
          <w:sz w:val="24"/>
          <w:szCs w:val="24"/>
        </w:rPr>
        <w:t>COUNTY</w:t>
      </w:r>
    </w:p>
    <w:p w14:paraId="599CDEBA" w14:textId="77777777" w:rsidR="00F602DF" w:rsidRPr="006C0055" w:rsidRDefault="00F602DF" w:rsidP="00F602DF">
      <w:pPr>
        <w:spacing w:after="0" w:line="240" w:lineRule="auto"/>
        <w:jc w:val="center"/>
        <w:rPr>
          <w:rFonts w:ascii="Aptos Narrow" w:hAnsi="Aptos Narrow"/>
          <w:b/>
          <w:bCs/>
          <w:sz w:val="24"/>
          <w:szCs w:val="24"/>
        </w:rPr>
      </w:pPr>
    </w:p>
    <w:p w14:paraId="54B2B6B1" w14:textId="77777777" w:rsidR="00F602DF" w:rsidRPr="006C0055" w:rsidRDefault="00F602DF" w:rsidP="00F602DF">
      <w:pPr>
        <w:spacing w:after="0" w:line="240" w:lineRule="auto"/>
        <w:jc w:val="center"/>
        <w:rPr>
          <w:rFonts w:ascii="Aptos Narrow" w:hAnsi="Aptos Narrow"/>
          <w:b/>
          <w:bCs/>
          <w:sz w:val="24"/>
          <w:szCs w:val="24"/>
        </w:rPr>
      </w:pPr>
    </w:p>
    <w:p w14:paraId="4A54DA7C" w14:textId="135CFCBC" w:rsidR="00F602DF" w:rsidRPr="006C0055" w:rsidRDefault="00F602DF" w:rsidP="006C0055">
      <w:pPr>
        <w:spacing w:after="0" w:line="240" w:lineRule="auto"/>
        <w:jc w:val="both"/>
        <w:rPr>
          <w:rFonts w:ascii="Aptos Narrow" w:hAnsi="Aptos Narrow"/>
          <w:sz w:val="24"/>
          <w:szCs w:val="24"/>
        </w:rPr>
      </w:pPr>
      <w:r w:rsidRPr="006C0055">
        <w:rPr>
          <w:rFonts w:ascii="Aptos Narrow" w:hAnsi="Aptos Narrow"/>
          <w:sz w:val="24"/>
          <w:szCs w:val="24"/>
        </w:rPr>
        <w:t xml:space="preserve">The County agrees to perform the listed activities </w:t>
      </w:r>
      <w:proofErr w:type="gramStart"/>
      <w:r w:rsidRPr="006C0055">
        <w:rPr>
          <w:rFonts w:ascii="Aptos Narrow" w:hAnsi="Aptos Narrow"/>
          <w:sz w:val="24"/>
          <w:szCs w:val="24"/>
        </w:rPr>
        <w:t>in order to</w:t>
      </w:r>
      <w:proofErr w:type="gramEnd"/>
      <w:r w:rsidRPr="006C0055">
        <w:rPr>
          <w:rFonts w:ascii="Aptos Narrow" w:hAnsi="Aptos Narrow"/>
          <w:sz w:val="24"/>
          <w:szCs w:val="24"/>
        </w:rPr>
        <w:t>:</w:t>
      </w:r>
    </w:p>
    <w:p w14:paraId="6781C43B" w14:textId="6ACB8830" w:rsidR="00F602DF" w:rsidRPr="006C0055" w:rsidRDefault="00F602DF" w:rsidP="006C0055">
      <w:pPr>
        <w:pStyle w:val="ListParagraph"/>
        <w:numPr>
          <w:ilvl w:val="0"/>
          <w:numId w:val="11"/>
        </w:numPr>
        <w:spacing w:after="0" w:line="240" w:lineRule="auto"/>
        <w:jc w:val="both"/>
        <w:rPr>
          <w:rFonts w:ascii="Aptos Narrow" w:hAnsi="Aptos Narrow"/>
          <w:b/>
          <w:bCs/>
          <w:sz w:val="24"/>
          <w:szCs w:val="24"/>
        </w:rPr>
      </w:pPr>
      <w:r w:rsidRPr="006C0055">
        <w:rPr>
          <w:rFonts w:ascii="Aptos Narrow" w:hAnsi="Aptos Narrow"/>
          <w:sz w:val="24"/>
          <w:szCs w:val="24"/>
        </w:rPr>
        <w:t xml:space="preserve">Implement an intergovernmental, coordinated state and community-wide plan to provide detection and delimitation of the glassy-winged sharpshooter (GWSS) and other designated pests and diseases in </w:t>
      </w:r>
      <w:r w:rsidRPr="006C0055">
        <w:rPr>
          <w:rFonts w:ascii="Aptos Narrow" w:hAnsi="Aptos Narrow"/>
          <w:sz w:val="24"/>
          <w:szCs w:val="24"/>
          <w:highlight w:val="cyan"/>
        </w:rPr>
        <w:t>[County Name]</w:t>
      </w:r>
      <w:r w:rsidRPr="006C0055">
        <w:rPr>
          <w:rFonts w:ascii="Aptos Narrow" w:hAnsi="Aptos Narrow"/>
          <w:sz w:val="24"/>
          <w:szCs w:val="24"/>
        </w:rPr>
        <w:t xml:space="preserve"> County and suppress or eradicate any populations as rapidly as possible.</w:t>
      </w:r>
    </w:p>
    <w:p w14:paraId="5E55540A" w14:textId="1AD38D8C" w:rsidR="00F602DF" w:rsidRPr="006C0055" w:rsidRDefault="00F602DF" w:rsidP="006C0055">
      <w:pPr>
        <w:pStyle w:val="ListParagraph"/>
        <w:numPr>
          <w:ilvl w:val="0"/>
          <w:numId w:val="11"/>
        </w:numPr>
        <w:spacing w:after="0" w:line="240" w:lineRule="auto"/>
        <w:jc w:val="both"/>
        <w:rPr>
          <w:rFonts w:ascii="Aptos Narrow" w:hAnsi="Aptos Narrow"/>
          <w:b/>
          <w:bCs/>
          <w:sz w:val="24"/>
          <w:szCs w:val="24"/>
        </w:rPr>
      </w:pPr>
      <w:r w:rsidRPr="006C0055">
        <w:rPr>
          <w:rFonts w:ascii="Aptos Narrow" w:hAnsi="Aptos Narrow"/>
          <w:sz w:val="24"/>
          <w:szCs w:val="24"/>
        </w:rPr>
        <w:t xml:space="preserve">Ensure the movement of products and commodities does not present a risk of moving GWSS to </w:t>
      </w:r>
      <w:r w:rsidR="0023784A">
        <w:rPr>
          <w:rFonts w:ascii="Aptos Narrow" w:hAnsi="Aptos Narrow"/>
          <w:sz w:val="24"/>
          <w:szCs w:val="24"/>
        </w:rPr>
        <w:t>non-</w:t>
      </w:r>
      <w:r w:rsidRPr="006C0055">
        <w:rPr>
          <w:rFonts w:ascii="Aptos Narrow" w:hAnsi="Aptos Narrow"/>
          <w:sz w:val="24"/>
          <w:szCs w:val="24"/>
        </w:rPr>
        <w:t xml:space="preserve">infested areas.  </w:t>
      </w:r>
    </w:p>
    <w:p w14:paraId="2155B57A" w14:textId="47B28E66" w:rsidR="00E909AF" w:rsidRPr="006C0055" w:rsidRDefault="00E909AF" w:rsidP="00BF29B0">
      <w:pPr>
        <w:spacing w:after="0" w:line="240" w:lineRule="auto"/>
        <w:jc w:val="center"/>
        <w:rPr>
          <w:rFonts w:ascii="Aptos Narrow" w:hAnsi="Aptos Narrow"/>
          <w:sz w:val="24"/>
          <w:szCs w:val="24"/>
        </w:rPr>
      </w:pPr>
    </w:p>
    <w:p w14:paraId="32F26B6B" w14:textId="77777777" w:rsidR="00BF29B0" w:rsidRPr="006C0055" w:rsidRDefault="00BF29B0" w:rsidP="00BF29B0">
      <w:pPr>
        <w:spacing w:after="0" w:line="240" w:lineRule="auto"/>
        <w:jc w:val="both"/>
        <w:rPr>
          <w:rFonts w:ascii="Aptos Narrow" w:hAnsi="Aptos Narrow"/>
          <w:b/>
          <w:bCs/>
          <w:sz w:val="24"/>
          <w:szCs w:val="24"/>
        </w:rPr>
      </w:pPr>
      <w:r w:rsidRPr="006C0055">
        <w:rPr>
          <w:rFonts w:ascii="Aptos Narrow" w:hAnsi="Aptos Narrow"/>
          <w:b/>
          <w:bCs/>
          <w:sz w:val="24"/>
          <w:szCs w:val="24"/>
        </w:rPr>
        <w:t>Designated Agency</w:t>
      </w:r>
    </w:p>
    <w:p w14:paraId="190FA6D0" w14:textId="34AA0B44" w:rsidR="00BF29B0" w:rsidRPr="006C0055" w:rsidRDefault="00BF29B0" w:rsidP="00BF29B0">
      <w:pPr>
        <w:spacing w:after="0" w:line="240" w:lineRule="auto"/>
        <w:jc w:val="both"/>
        <w:rPr>
          <w:rFonts w:ascii="Aptos Narrow" w:hAnsi="Aptos Narrow"/>
          <w:sz w:val="24"/>
          <w:szCs w:val="24"/>
        </w:rPr>
      </w:pPr>
      <w:r w:rsidRPr="006C0055">
        <w:rPr>
          <w:rFonts w:ascii="Aptos Narrow" w:hAnsi="Aptos Narrow"/>
          <w:sz w:val="24"/>
          <w:szCs w:val="24"/>
        </w:rPr>
        <w:t xml:space="preserve">The </w:t>
      </w:r>
      <w:r w:rsidRPr="006C0055">
        <w:rPr>
          <w:rFonts w:ascii="Aptos Narrow" w:hAnsi="Aptos Narrow"/>
          <w:sz w:val="24"/>
          <w:szCs w:val="24"/>
          <w:highlight w:val="cyan"/>
        </w:rPr>
        <w:t>[County Name]</w:t>
      </w:r>
      <w:r w:rsidRPr="006C0055">
        <w:rPr>
          <w:rFonts w:ascii="Aptos Narrow" w:hAnsi="Aptos Narrow"/>
          <w:sz w:val="24"/>
          <w:szCs w:val="24"/>
        </w:rPr>
        <w:t xml:space="preserve"> County Department of Agriculture (County) is designated by the </w:t>
      </w:r>
      <w:r w:rsidRPr="006C0055">
        <w:rPr>
          <w:rFonts w:ascii="Aptos Narrow" w:hAnsi="Aptos Narrow"/>
          <w:sz w:val="24"/>
          <w:szCs w:val="24"/>
          <w:highlight w:val="cyan"/>
        </w:rPr>
        <w:t>[County Name]</w:t>
      </w:r>
      <w:r w:rsidRPr="006C0055">
        <w:rPr>
          <w:rFonts w:ascii="Aptos Narrow" w:hAnsi="Aptos Narrow"/>
          <w:sz w:val="24"/>
          <w:szCs w:val="24"/>
        </w:rPr>
        <w:t xml:space="preserve"> County Board of Supervisors as the local public entity to conduct the Pierce’s Disease Control Program (PDCP) within the County.  The </w:t>
      </w:r>
      <w:r w:rsidR="009F0F75" w:rsidRPr="006C0055">
        <w:rPr>
          <w:rFonts w:ascii="Aptos Narrow" w:hAnsi="Aptos Narrow"/>
          <w:sz w:val="24"/>
          <w:szCs w:val="24"/>
        </w:rPr>
        <w:t>California Department of Food and Agriculture (</w:t>
      </w:r>
      <w:r w:rsidRPr="006C0055">
        <w:rPr>
          <w:rFonts w:ascii="Aptos Narrow" w:hAnsi="Aptos Narrow"/>
          <w:sz w:val="24"/>
          <w:szCs w:val="24"/>
        </w:rPr>
        <w:t>CDFA</w:t>
      </w:r>
      <w:r w:rsidR="009F0F75" w:rsidRPr="006C0055">
        <w:rPr>
          <w:rFonts w:ascii="Aptos Narrow" w:hAnsi="Aptos Narrow"/>
          <w:sz w:val="24"/>
          <w:szCs w:val="24"/>
        </w:rPr>
        <w:t>)</w:t>
      </w:r>
      <w:r w:rsidRPr="006C0055">
        <w:rPr>
          <w:rFonts w:ascii="Aptos Narrow" w:hAnsi="Aptos Narrow"/>
          <w:sz w:val="24"/>
          <w:szCs w:val="24"/>
        </w:rPr>
        <w:t xml:space="preserve"> will work in cooperation with the County, the State PDCP Science Advisory Panel, officials in affected counties, the </w:t>
      </w:r>
      <w:r w:rsidRPr="006C0055">
        <w:rPr>
          <w:rFonts w:ascii="Aptos Narrow" w:hAnsi="Aptos Narrow"/>
          <w:sz w:val="24"/>
          <w:szCs w:val="24"/>
          <w:highlight w:val="cyan"/>
        </w:rPr>
        <w:t>[County Name]</w:t>
      </w:r>
      <w:r w:rsidRPr="006C0055">
        <w:rPr>
          <w:rFonts w:ascii="Aptos Narrow" w:hAnsi="Aptos Narrow"/>
          <w:sz w:val="24"/>
          <w:szCs w:val="24"/>
        </w:rPr>
        <w:t xml:space="preserve"> County PDCP Task Force (if applicable), and other interested parties in implementing this plan.  </w:t>
      </w:r>
    </w:p>
    <w:p w14:paraId="75E5AA0F" w14:textId="77777777" w:rsidR="00270AB7" w:rsidRPr="006C0055" w:rsidRDefault="00270AB7" w:rsidP="00270AB7">
      <w:pPr>
        <w:spacing w:after="0" w:line="240" w:lineRule="auto"/>
        <w:jc w:val="center"/>
        <w:rPr>
          <w:rFonts w:ascii="Aptos Narrow" w:hAnsi="Aptos Narrow"/>
          <w:b/>
          <w:bCs/>
          <w:sz w:val="24"/>
          <w:szCs w:val="24"/>
        </w:rPr>
      </w:pPr>
    </w:p>
    <w:p w14:paraId="2368CD13" w14:textId="77777777" w:rsidR="00270AB7" w:rsidRPr="006C0055" w:rsidRDefault="00270AB7" w:rsidP="004306BB">
      <w:pPr>
        <w:spacing w:after="0" w:line="240" w:lineRule="auto"/>
        <w:rPr>
          <w:rFonts w:ascii="Aptos Narrow" w:hAnsi="Aptos Narrow"/>
          <w:b/>
          <w:bCs/>
          <w:sz w:val="24"/>
          <w:szCs w:val="24"/>
        </w:rPr>
      </w:pPr>
    </w:p>
    <w:p w14:paraId="701FCA48" w14:textId="30B17881" w:rsidR="00E909AF" w:rsidRPr="006C0055" w:rsidRDefault="00E909AF" w:rsidP="00886B67">
      <w:pPr>
        <w:spacing w:after="0" w:line="240" w:lineRule="auto"/>
        <w:jc w:val="center"/>
        <w:rPr>
          <w:rFonts w:ascii="Aptos Narrow" w:hAnsi="Aptos Narrow"/>
          <w:b/>
          <w:bCs/>
          <w:sz w:val="24"/>
          <w:szCs w:val="24"/>
        </w:rPr>
      </w:pPr>
      <w:r w:rsidRPr="006C0055">
        <w:rPr>
          <w:rFonts w:ascii="Aptos Narrow" w:hAnsi="Aptos Narrow"/>
          <w:b/>
          <w:bCs/>
          <w:sz w:val="24"/>
          <w:szCs w:val="24"/>
        </w:rPr>
        <w:t>RESPONSIBILITIES</w:t>
      </w:r>
    </w:p>
    <w:p w14:paraId="0EA01882" w14:textId="77777777" w:rsidR="00E909AF" w:rsidRPr="006C0055" w:rsidRDefault="00E909AF" w:rsidP="009E42A8">
      <w:pPr>
        <w:spacing w:after="0" w:line="240" w:lineRule="auto"/>
        <w:jc w:val="both"/>
        <w:rPr>
          <w:rFonts w:ascii="Aptos Narrow" w:hAnsi="Aptos Narrow"/>
          <w:b/>
          <w:bCs/>
          <w:sz w:val="24"/>
          <w:szCs w:val="24"/>
        </w:rPr>
      </w:pPr>
      <w:r w:rsidRPr="006C0055">
        <w:rPr>
          <w:rFonts w:ascii="Aptos Narrow" w:hAnsi="Aptos Narrow"/>
          <w:b/>
          <w:bCs/>
          <w:sz w:val="24"/>
          <w:szCs w:val="24"/>
        </w:rPr>
        <w:t>CDFA Responsibilities</w:t>
      </w:r>
    </w:p>
    <w:p w14:paraId="64A1AA15" w14:textId="4A590260" w:rsidR="00BF29B0" w:rsidRPr="006C0055" w:rsidRDefault="00E909AF" w:rsidP="006C0055">
      <w:pPr>
        <w:spacing w:after="0" w:line="240" w:lineRule="auto"/>
        <w:jc w:val="both"/>
        <w:rPr>
          <w:rFonts w:ascii="Aptos Narrow" w:hAnsi="Aptos Narrow"/>
          <w:sz w:val="24"/>
          <w:szCs w:val="24"/>
        </w:rPr>
      </w:pPr>
      <w:r w:rsidRPr="006C0055">
        <w:rPr>
          <w:rFonts w:ascii="Aptos Narrow" w:hAnsi="Aptos Narrow"/>
          <w:sz w:val="24"/>
          <w:szCs w:val="24"/>
        </w:rPr>
        <w:t>The CDFA shall</w:t>
      </w:r>
      <w:r w:rsidR="00BF29B0" w:rsidRPr="006C0055">
        <w:rPr>
          <w:rFonts w:ascii="Aptos Narrow" w:hAnsi="Aptos Narrow"/>
          <w:sz w:val="24"/>
          <w:szCs w:val="24"/>
        </w:rPr>
        <w:t>:</w:t>
      </w:r>
    </w:p>
    <w:p w14:paraId="2ED8D984" w14:textId="00B70E43" w:rsidR="00E909AF" w:rsidRPr="006C0055" w:rsidRDefault="00BC1299" w:rsidP="006C0055">
      <w:pPr>
        <w:pStyle w:val="ListParagraph"/>
        <w:numPr>
          <w:ilvl w:val="0"/>
          <w:numId w:val="12"/>
        </w:numPr>
        <w:spacing w:after="0" w:line="240" w:lineRule="auto"/>
        <w:jc w:val="both"/>
        <w:rPr>
          <w:rFonts w:ascii="Aptos Narrow" w:hAnsi="Aptos Narrow"/>
          <w:sz w:val="24"/>
          <w:szCs w:val="24"/>
        </w:rPr>
      </w:pPr>
      <w:r w:rsidRPr="006C0055">
        <w:rPr>
          <w:rFonts w:ascii="Aptos Narrow" w:hAnsi="Aptos Narrow"/>
          <w:sz w:val="24"/>
          <w:szCs w:val="24"/>
        </w:rPr>
        <w:t>Provide t</w:t>
      </w:r>
      <w:r w:rsidR="00E909AF" w:rsidRPr="006C0055">
        <w:rPr>
          <w:rFonts w:ascii="Aptos Narrow" w:hAnsi="Aptos Narrow"/>
          <w:sz w:val="24"/>
          <w:szCs w:val="24"/>
        </w:rPr>
        <w:t xml:space="preserve">raining </w:t>
      </w:r>
      <w:proofErr w:type="gramStart"/>
      <w:r w:rsidR="00E909AF" w:rsidRPr="006C0055">
        <w:rPr>
          <w:rFonts w:ascii="Aptos Narrow" w:hAnsi="Aptos Narrow"/>
          <w:sz w:val="24"/>
          <w:szCs w:val="24"/>
        </w:rPr>
        <w:t>on</w:t>
      </w:r>
      <w:proofErr w:type="gramEnd"/>
      <w:r w:rsidR="00E909AF" w:rsidRPr="006C0055">
        <w:rPr>
          <w:rFonts w:ascii="Aptos Narrow" w:hAnsi="Aptos Narrow"/>
          <w:sz w:val="24"/>
          <w:szCs w:val="24"/>
        </w:rPr>
        <w:t xml:space="preserve"> management practices at least one week prior to any activity occurring</w:t>
      </w:r>
      <w:r w:rsidR="008F4301" w:rsidRPr="006C0055">
        <w:rPr>
          <w:rFonts w:ascii="Aptos Narrow" w:hAnsi="Aptos Narrow"/>
          <w:sz w:val="24"/>
          <w:szCs w:val="24"/>
        </w:rPr>
        <w:t>.</w:t>
      </w:r>
    </w:p>
    <w:p w14:paraId="655A436B" w14:textId="5B2CA622" w:rsidR="00886B67" w:rsidRPr="006C0055" w:rsidRDefault="00BF29B0" w:rsidP="006C0055">
      <w:pPr>
        <w:pStyle w:val="ListParagraph"/>
        <w:numPr>
          <w:ilvl w:val="0"/>
          <w:numId w:val="12"/>
        </w:numPr>
        <w:spacing w:after="0" w:line="240" w:lineRule="auto"/>
        <w:jc w:val="both"/>
        <w:rPr>
          <w:rFonts w:ascii="Aptos Narrow" w:hAnsi="Aptos Narrow"/>
          <w:sz w:val="24"/>
          <w:szCs w:val="24"/>
        </w:rPr>
      </w:pPr>
      <w:r w:rsidRPr="006C0055">
        <w:rPr>
          <w:rFonts w:ascii="Aptos Narrow" w:hAnsi="Aptos Narrow"/>
          <w:sz w:val="24"/>
          <w:szCs w:val="24"/>
        </w:rPr>
        <w:t xml:space="preserve">Provide biological control </w:t>
      </w:r>
      <w:proofErr w:type="gramStart"/>
      <w:r w:rsidRPr="006C0055">
        <w:rPr>
          <w:rFonts w:ascii="Aptos Narrow" w:hAnsi="Aptos Narrow"/>
          <w:sz w:val="24"/>
          <w:szCs w:val="24"/>
        </w:rPr>
        <w:t>program</w:t>
      </w:r>
      <w:proofErr w:type="gramEnd"/>
      <w:r w:rsidRPr="006C0055">
        <w:rPr>
          <w:rFonts w:ascii="Aptos Narrow" w:hAnsi="Aptos Narrow"/>
          <w:sz w:val="24"/>
          <w:szCs w:val="24"/>
        </w:rPr>
        <w:t xml:space="preserve"> guidance and support to the County as favorable agents become available</w:t>
      </w:r>
      <w:r w:rsidR="008F4301" w:rsidRPr="006C0055">
        <w:rPr>
          <w:rFonts w:ascii="Aptos Narrow" w:hAnsi="Aptos Narrow"/>
          <w:sz w:val="24"/>
          <w:szCs w:val="24"/>
        </w:rPr>
        <w:t>.</w:t>
      </w:r>
    </w:p>
    <w:p w14:paraId="547CF633" w14:textId="4A04058D" w:rsidR="00BF29B0" w:rsidRPr="006C0055" w:rsidRDefault="00635F5A" w:rsidP="006C0055">
      <w:pPr>
        <w:pStyle w:val="ListParagraph"/>
        <w:numPr>
          <w:ilvl w:val="0"/>
          <w:numId w:val="12"/>
        </w:numPr>
        <w:spacing w:after="0" w:line="240" w:lineRule="auto"/>
        <w:jc w:val="both"/>
        <w:rPr>
          <w:rFonts w:ascii="Aptos Narrow" w:hAnsi="Aptos Narrow"/>
          <w:sz w:val="24"/>
          <w:szCs w:val="24"/>
        </w:rPr>
      </w:pPr>
      <w:r w:rsidRPr="006C0055">
        <w:rPr>
          <w:rFonts w:ascii="Aptos Narrow" w:hAnsi="Aptos Narrow"/>
          <w:sz w:val="24"/>
          <w:szCs w:val="24"/>
        </w:rPr>
        <w:t>P</w:t>
      </w:r>
      <w:r w:rsidR="00BF29B0" w:rsidRPr="006C0055">
        <w:rPr>
          <w:rFonts w:ascii="Aptos Narrow" w:hAnsi="Aptos Narrow"/>
          <w:sz w:val="24"/>
          <w:szCs w:val="24"/>
        </w:rPr>
        <w:t>rovide on-site expertise, as needed.</w:t>
      </w:r>
    </w:p>
    <w:p w14:paraId="2E1545DC" w14:textId="59EFDE7E" w:rsidR="004306BB" w:rsidRPr="006C0055" w:rsidRDefault="004306BB" w:rsidP="006C0055">
      <w:pPr>
        <w:pStyle w:val="ListParagraph"/>
        <w:numPr>
          <w:ilvl w:val="0"/>
          <w:numId w:val="12"/>
        </w:numPr>
        <w:spacing w:after="0" w:line="240" w:lineRule="auto"/>
        <w:jc w:val="both"/>
        <w:rPr>
          <w:rFonts w:ascii="Aptos Narrow" w:hAnsi="Aptos Narrow"/>
          <w:sz w:val="24"/>
          <w:szCs w:val="24"/>
        </w:rPr>
      </w:pPr>
      <w:r w:rsidRPr="006C0055">
        <w:rPr>
          <w:rFonts w:ascii="Aptos Narrow" w:hAnsi="Aptos Narrow"/>
          <w:sz w:val="24"/>
          <w:szCs w:val="24"/>
        </w:rPr>
        <w:t xml:space="preserve">provide the county Monthly Activity Report form online at: </w:t>
      </w:r>
      <w:hyperlink r:id="rId8" w:history="1">
        <w:r w:rsidRPr="006C0055">
          <w:rPr>
            <w:rStyle w:val="Hyperlink"/>
            <w:rFonts w:ascii="Aptos Narrow" w:hAnsi="Aptos Narrow"/>
            <w:sz w:val="24"/>
            <w:szCs w:val="24"/>
          </w:rPr>
          <w:t>https://secure.cdfa.ca.gov/egov/crs/login.aspx?ReturnUrl=%2fegov%2fcrs%2fDefault.aspx</w:t>
        </w:r>
      </w:hyperlink>
      <w:r w:rsidRPr="006C0055">
        <w:rPr>
          <w:rFonts w:ascii="Aptos Narrow" w:hAnsi="Aptos Narrow"/>
          <w:sz w:val="24"/>
          <w:szCs w:val="24"/>
        </w:rPr>
        <w:t xml:space="preserve">  </w:t>
      </w:r>
    </w:p>
    <w:p w14:paraId="305830A8" w14:textId="102F63A0" w:rsidR="00B07773" w:rsidRPr="006C0055" w:rsidRDefault="00B07773" w:rsidP="006C0055">
      <w:pPr>
        <w:spacing w:after="0" w:line="240" w:lineRule="auto"/>
        <w:jc w:val="both"/>
        <w:rPr>
          <w:rFonts w:ascii="Aptos Narrow" w:hAnsi="Aptos Narrow"/>
          <w:sz w:val="24"/>
          <w:szCs w:val="24"/>
        </w:rPr>
      </w:pPr>
      <w:r w:rsidRPr="006C0055">
        <w:rPr>
          <w:rFonts w:ascii="Aptos Narrow" w:hAnsi="Aptos Narrow"/>
          <w:sz w:val="24"/>
          <w:szCs w:val="24"/>
        </w:rPr>
        <w:t xml:space="preserve">CDFA may conduct certain </w:t>
      </w:r>
      <w:proofErr w:type="gramStart"/>
      <w:r w:rsidRPr="006C0055">
        <w:rPr>
          <w:rFonts w:ascii="Aptos Narrow" w:hAnsi="Aptos Narrow"/>
          <w:sz w:val="24"/>
          <w:szCs w:val="24"/>
        </w:rPr>
        <w:t>program</w:t>
      </w:r>
      <w:proofErr w:type="gramEnd"/>
      <w:r w:rsidRPr="006C0055">
        <w:rPr>
          <w:rFonts w:ascii="Aptos Narrow" w:hAnsi="Aptos Narrow"/>
          <w:sz w:val="24"/>
          <w:szCs w:val="24"/>
        </w:rPr>
        <w:t xml:space="preserve"> activities which are normally the responsibility of the county in situations where the county cannot or chooses not to conduct those activities.</w:t>
      </w:r>
    </w:p>
    <w:p w14:paraId="5C219727" w14:textId="77777777" w:rsidR="00886B67" w:rsidRPr="006C0055" w:rsidRDefault="00886B67" w:rsidP="009E42A8">
      <w:pPr>
        <w:spacing w:after="0" w:line="240" w:lineRule="auto"/>
        <w:jc w:val="both"/>
        <w:rPr>
          <w:rFonts w:ascii="Aptos Narrow" w:hAnsi="Aptos Narrow"/>
          <w:sz w:val="24"/>
          <w:szCs w:val="24"/>
        </w:rPr>
      </w:pPr>
    </w:p>
    <w:p w14:paraId="051BA209" w14:textId="1C88C8D1" w:rsidR="004306BB" w:rsidRPr="006C0055" w:rsidRDefault="00E909AF" w:rsidP="009E42A8">
      <w:pPr>
        <w:spacing w:after="0" w:line="240" w:lineRule="auto"/>
        <w:jc w:val="both"/>
        <w:rPr>
          <w:rFonts w:ascii="Aptos Narrow" w:hAnsi="Aptos Narrow"/>
          <w:b/>
          <w:bCs/>
          <w:sz w:val="24"/>
          <w:szCs w:val="24"/>
        </w:rPr>
      </w:pPr>
      <w:r w:rsidRPr="006C0055">
        <w:rPr>
          <w:rFonts w:ascii="Aptos Narrow" w:hAnsi="Aptos Narrow"/>
          <w:b/>
          <w:bCs/>
          <w:sz w:val="24"/>
          <w:szCs w:val="24"/>
        </w:rPr>
        <w:t>County Responsibilities</w:t>
      </w:r>
    </w:p>
    <w:p w14:paraId="22D36A64" w14:textId="23A545BD" w:rsidR="004306BB" w:rsidRPr="006C0055" w:rsidRDefault="00635F5A" w:rsidP="009E42A8">
      <w:pPr>
        <w:spacing w:after="0" w:line="240" w:lineRule="auto"/>
        <w:jc w:val="both"/>
        <w:rPr>
          <w:rFonts w:ascii="Aptos Narrow" w:hAnsi="Aptos Narrow"/>
          <w:sz w:val="24"/>
          <w:szCs w:val="24"/>
        </w:rPr>
      </w:pPr>
      <w:r w:rsidRPr="006C0055">
        <w:rPr>
          <w:rFonts w:ascii="Aptos Narrow" w:hAnsi="Aptos Narrow"/>
          <w:sz w:val="24"/>
          <w:szCs w:val="24"/>
        </w:rPr>
        <w:t>The County shall:</w:t>
      </w:r>
    </w:p>
    <w:p w14:paraId="262702B6" w14:textId="52268B0E" w:rsidR="00E909AF" w:rsidRPr="006C0055" w:rsidRDefault="00E909AF" w:rsidP="009E42A8">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Act as local public entity for the PDCP activities occurring within the jurisdiction of the county.</w:t>
      </w:r>
    </w:p>
    <w:p w14:paraId="25FDE873" w14:textId="60D9E166" w:rsidR="00BF29B0" w:rsidRPr="006C0055" w:rsidRDefault="00E909AF" w:rsidP="00BF29B0">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Act as lead liaison to local City Councils, the County Board of Supervisors, county legal counsels, and other county agencies, regarding the PDCP activities.</w:t>
      </w:r>
    </w:p>
    <w:p w14:paraId="56706185" w14:textId="589A9285" w:rsidR="00635F5A" w:rsidRPr="006C0055" w:rsidRDefault="00BF29B0" w:rsidP="00635F5A">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lastRenderedPageBreak/>
        <w:t xml:space="preserve">Activities described in this </w:t>
      </w:r>
      <w:r w:rsidR="00E909AF" w:rsidRPr="006C0055">
        <w:rPr>
          <w:rFonts w:ascii="Aptos Narrow" w:hAnsi="Aptos Narrow"/>
          <w:sz w:val="24"/>
          <w:szCs w:val="24"/>
        </w:rPr>
        <w:t xml:space="preserve">workplan qualify for the exemption to CEQA under Public Resources Code Section 21080(b)(4).  The County will complete </w:t>
      </w:r>
      <w:r w:rsidR="0018101F" w:rsidRPr="006C0055">
        <w:rPr>
          <w:rFonts w:ascii="Aptos Narrow" w:hAnsi="Aptos Narrow"/>
          <w:sz w:val="24"/>
          <w:szCs w:val="24"/>
        </w:rPr>
        <w:t xml:space="preserve">tiering strategy checklists for inspection, trapping, and treatment (if applicable) </w:t>
      </w:r>
      <w:r w:rsidR="00E909AF" w:rsidRPr="006C0055">
        <w:rPr>
          <w:rFonts w:ascii="Aptos Narrow" w:hAnsi="Aptos Narrow"/>
          <w:sz w:val="24"/>
          <w:szCs w:val="24"/>
        </w:rPr>
        <w:t xml:space="preserve">and ensure all activities follow </w:t>
      </w:r>
      <w:r w:rsidR="009F0F75" w:rsidRPr="006C0055">
        <w:rPr>
          <w:rFonts w:ascii="Aptos Narrow" w:hAnsi="Aptos Narrow"/>
          <w:sz w:val="24"/>
          <w:szCs w:val="24"/>
        </w:rPr>
        <w:t xml:space="preserve">the </w:t>
      </w:r>
      <w:r w:rsidR="00E909AF" w:rsidRPr="006C0055">
        <w:rPr>
          <w:rFonts w:ascii="Aptos Narrow" w:hAnsi="Aptos Narrow"/>
          <w:sz w:val="24"/>
          <w:szCs w:val="24"/>
        </w:rPr>
        <w:t xml:space="preserve">CDFA </w:t>
      </w:r>
      <w:r w:rsidR="00DD4D10" w:rsidRPr="006C0055">
        <w:rPr>
          <w:rFonts w:ascii="Aptos Narrow" w:hAnsi="Aptos Narrow"/>
          <w:sz w:val="24"/>
          <w:szCs w:val="24"/>
        </w:rPr>
        <w:t>M</w:t>
      </w:r>
      <w:r w:rsidR="00E909AF" w:rsidRPr="006C0055">
        <w:rPr>
          <w:rFonts w:ascii="Aptos Narrow" w:hAnsi="Aptos Narrow"/>
          <w:sz w:val="24"/>
          <w:szCs w:val="24"/>
        </w:rPr>
        <w:t xml:space="preserve">anagement </w:t>
      </w:r>
      <w:r w:rsidR="00DD4D10" w:rsidRPr="006C0055">
        <w:rPr>
          <w:rFonts w:ascii="Aptos Narrow" w:hAnsi="Aptos Narrow"/>
          <w:sz w:val="24"/>
          <w:szCs w:val="24"/>
        </w:rPr>
        <w:t>P</w:t>
      </w:r>
      <w:r w:rsidR="00E909AF" w:rsidRPr="006C0055">
        <w:rPr>
          <w:rFonts w:ascii="Aptos Narrow" w:hAnsi="Aptos Narrow"/>
          <w:sz w:val="24"/>
          <w:szCs w:val="24"/>
        </w:rPr>
        <w:t>ractices</w:t>
      </w:r>
      <w:r w:rsidR="00DD4D10" w:rsidRPr="006C0055">
        <w:rPr>
          <w:rFonts w:ascii="Aptos Narrow" w:hAnsi="Aptos Narrow"/>
          <w:sz w:val="24"/>
          <w:szCs w:val="24"/>
        </w:rPr>
        <w:t xml:space="preserve"> and Mitigation Measures.</w:t>
      </w:r>
    </w:p>
    <w:p w14:paraId="242582DA" w14:textId="735177BF" w:rsidR="004306BB" w:rsidRPr="006C0055" w:rsidRDefault="004306BB" w:rsidP="004306BB">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Conduct a GWSS detection trapping program in accordance with GWSS Statewide Detection and Delimitation Protocols (July 1, 2024).  The County will submit a written request and justification to the PDCP if it wishes to deviate from the protocols.</w:t>
      </w:r>
    </w:p>
    <w:p w14:paraId="70BC44C8" w14:textId="5600206E" w:rsidR="00BF29B0" w:rsidRPr="006C0055" w:rsidRDefault="009F0F75" w:rsidP="00081E76">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 xml:space="preserve">Upon discovery of a </w:t>
      </w:r>
      <w:r w:rsidR="00081E76" w:rsidRPr="006C0055">
        <w:rPr>
          <w:rFonts w:ascii="Aptos Narrow" w:hAnsi="Aptos Narrow"/>
          <w:sz w:val="24"/>
          <w:szCs w:val="24"/>
        </w:rPr>
        <w:t>GWSS find in a non-infested area</w:t>
      </w:r>
      <w:r w:rsidRPr="006C0055">
        <w:rPr>
          <w:rFonts w:ascii="Aptos Narrow" w:hAnsi="Aptos Narrow"/>
          <w:sz w:val="24"/>
          <w:szCs w:val="24"/>
        </w:rPr>
        <w:t>, p</w:t>
      </w:r>
      <w:r w:rsidR="00BF29B0" w:rsidRPr="006C0055">
        <w:rPr>
          <w:rFonts w:ascii="Aptos Narrow" w:hAnsi="Aptos Narrow"/>
          <w:sz w:val="24"/>
          <w:szCs w:val="24"/>
        </w:rPr>
        <w:t>romptly conduct all delimitation and intensive</w:t>
      </w:r>
      <w:r w:rsidRPr="006C0055">
        <w:rPr>
          <w:rFonts w:ascii="Aptos Narrow" w:hAnsi="Aptos Narrow"/>
          <w:sz w:val="24"/>
          <w:szCs w:val="24"/>
        </w:rPr>
        <w:t xml:space="preserve"> (property-by-property)</w:t>
      </w:r>
      <w:r w:rsidR="00BF29B0" w:rsidRPr="006C0055">
        <w:rPr>
          <w:rFonts w:ascii="Aptos Narrow" w:hAnsi="Aptos Narrow"/>
          <w:sz w:val="24"/>
          <w:szCs w:val="24"/>
        </w:rPr>
        <w:t xml:space="preserve"> surveys</w:t>
      </w:r>
      <w:r w:rsidRPr="006C0055">
        <w:rPr>
          <w:rFonts w:ascii="Aptos Narrow" w:hAnsi="Aptos Narrow"/>
          <w:sz w:val="24"/>
          <w:szCs w:val="24"/>
        </w:rPr>
        <w:t xml:space="preserve"> </w:t>
      </w:r>
      <w:r w:rsidR="00BF29B0" w:rsidRPr="006C0055">
        <w:rPr>
          <w:rFonts w:ascii="Aptos Narrow" w:hAnsi="Aptos Narrow"/>
          <w:sz w:val="24"/>
          <w:szCs w:val="24"/>
        </w:rPr>
        <w:t>in the county</w:t>
      </w:r>
      <w:r w:rsidR="00635F5A" w:rsidRPr="006C0055">
        <w:rPr>
          <w:rFonts w:ascii="Aptos Narrow" w:hAnsi="Aptos Narrow"/>
          <w:sz w:val="24"/>
          <w:szCs w:val="24"/>
        </w:rPr>
        <w:t xml:space="preserve"> in accordance with the </w:t>
      </w:r>
      <w:r w:rsidRPr="006C0055">
        <w:rPr>
          <w:rFonts w:ascii="Aptos Narrow" w:hAnsi="Aptos Narrow"/>
          <w:sz w:val="24"/>
          <w:szCs w:val="24"/>
        </w:rPr>
        <w:t>GWSS</w:t>
      </w:r>
      <w:r w:rsidR="00635F5A" w:rsidRPr="006C0055">
        <w:rPr>
          <w:rFonts w:ascii="Aptos Narrow" w:hAnsi="Aptos Narrow"/>
          <w:sz w:val="24"/>
          <w:szCs w:val="24"/>
        </w:rPr>
        <w:t xml:space="preserve"> Statewide Detection and Delimitation Protocols (July 1, 2024)</w:t>
      </w:r>
      <w:r w:rsidR="00BF29B0" w:rsidRPr="006C0055">
        <w:rPr>
          <w:rFonts w:ascii="Aptos Narrow" w:hAnsi="Aptos Narrow"/>
          <w:sz w:val="24"/>
          <w:szCs w:val="24"/>
        </w:rPr>
        <w:t xml:space="preserve">.  Additional survey staff may be contracted from the California Conservation Corps upon approval by PDCP.  </w:t>
      </w:r>
      <w:r w:rsidR="00081E76" w:rsidRPr="006C0055">
        <w:rPr>
          <w:rFonts w:ascii="Aptos Narrow" w:hAnsi="Aptos Narrow"/>
          <w:sz w:val="24"/>
          <w:szCs w:val="24"/>
        </w:rPr>
        <w:t>Provide status reports on the results of all surveys, including detailed maps of the surveyed area and infested properties.</w:t>
      </w:r>
    </w:p>
    <w:p w14:paraId="05B22472" w14:textId="77777777" w:rsidR="0023784A" w:rsidRDefault="004306BB" w:rsidP="0023784A">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 xml:space="preserve">Implement the CDFA GWSS Nursery Shipping Protocol, bulk citrus requirements, and all other commodity-movement protocols, as necessary, including associated compliance agreements and exhibits.  The list of approved products for bulk citrus and nursery treatment and/or certification is listed in CDFA’s Management Practices and Mitigation Measures.  The </w:t>
      </w:r>
      <w:r w:rsidRPr="0023784A">
        <w:rPr>
          <w:rFonts w:ascii="Aptos Narrow" w:hAnsi="Aptos Narrow"/>
          <w:sz w:val="24"/>
          <w:szCs w:val="24"/>
        </w:rPr>
        <w:t>County will submit a written request and justification to the PDCP if it wishes to deviate from the protocols.</w:t>
      </w:r>
    </w:p>
    <w:p w14:paraId="4336CFDB" w14:textId="124BEC3A" w:rsidR="004306BB" w:rsidRPr="0023784A" w:rsidRDefault="004306BB" w:rsidP="0023784A">
      <w:pPr>
        <w:pStyle w:val="ListParagraph"/>
        <w:numPr>
          <w:ilvl w:val="0"/>
          <w:numId w:val="1"/>
        </w:numPr>
        <w:spacing w:after="0" w:line="240" w:lineRule="auto"/>
        <w:jc w:val="both"/>
        <w:rPr>
          <w:rFonts w:ascii="Aptos Narrow" w:hAnsi="Aptos Narrow"/>
          <w:sz w:val="24"/>
          <w:szCs w:val="24"/>
        </w:rPr>
      </w:pPr>
      <w:r w:rsidRPr="0023784A">
        <w:rPr>
          <w:rFonts w:ascii="Aptos Narrow" w:hAnsi="Aptos Narrow"/>
          <w:sz w:val="24"/>
          <w:szCs w:val="24"/>
        </w:rPr>
        <w:t xml:space="preserve">In the event of an infestation, conduct treatments in accordance with the CDFA GWSS Treatment Protocol.  Monitor nurseries within the infested area for compliance.  </w:t>
      </w:r>
    </w:p>
    <w:p w14:paraId="28D0E418" w14:textId="77777777" w:rsidR="004306BB" w:rsidRPr="006C0055" w:rsidRDefault="004306BB" w:rsidP="004306BB">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Take any necessary enforcement action to ensure regulatory compliance.</w:t>
      </w:r>
    </w:p>
    <w:p w14:paraId="10B56D4A" w14:textId="56A65A42" w:rsidR="00B07773" w:rsidRPr="006C0055" w:rsidRDefault="00B07773" w:rsidP="00B07773">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Coordinate with CDFA on any planned producer outreach and training program in accordance with Food and Agricultural Code Section 6046(g)(1).  The development and delivery of producer outreach information and training to local communities, groups, and individuals will be done through public meetings and the local PDCP task force (if applicable).  Efforts will be directed towards raising awareness regarding Pierce’s disease and its vectors, and other designated pests and diseases, and workplan involvement through direct mailing, local media, and press releases.</w:t>
      </w:r>
    </w:p>
    <w:p w14:paraId="7EA9A3F3" w14:textId="5D0B6D27" w:rsidR="00B07773" w:rsidRPr="006C0055" w:rsidRDefault="00B07773" w:rsidP="00B07773">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Coordinate with CDFA on a training plan for the Agency’s employees in accordance with Food and Agricultural Code Section 6046(g)(2).  The biology, survey, and treatment of Pierce’s disease and its vectors, and other designated pests and diseases, will be the basic components of the training.  Scientific Advisory Panel discussions on GWSS and Pierce’s disease will be included in this training for key Agency employees.  The University of California Cooperative Extension will be a local resource for training and information for this program.</w:t>
      </w:r>
    </w:p>
    <w:p w14:paraId="07C69CA0" w14:textId="3BCEAA22" w:rsidR="00B07773" w:rsidRPr="006C0055" w:rsidRDefault="00B07773" w:rsidP="00B07773">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Coordinate with CDFA to fully participate in the development and implementation of a data collection system in accordance with Food and Agricultural Code Section 6046(g)(5).  The data collection system will make it possible to track and report new infestations of Pierce’s disease and its vectors, and other designated pests and diseases, in a manner respectful of property and other rights of those affected.</w:t>
      </w:r>
    </w:p>
    <w:p w14:paraId="6254DBAC" w14:textId="0C376E74" w:rsidR="008F4301" w:rsidRPr="006C0055" w:rsidRDefault="008F4301" w:rsidP="006C0055">
      <w:pPr>
        <w:pStyle w:val="ListParagraph"/>
        <w:numPr>
          <w:ilvl w:val="0"/>
          <w:numId w:val="1"/>
        </w:numPr>
        <w:jc w:val="both"/>
        <w:rPr>
          <w:rFonts w:ascii="Aptos Narrow" w:hAnsi="Aptos Narrow"/>
          <w:sz w:val="24"/>
          <w:szCs w:val="24"/>
        </w:rPr>
      </w:pPr>
      <w:r w:rsidRPr="006C0055">
        <w:rPr>
          <w:rFonts w:ascii="Aptos Narrow" w:hAnsi="Aptos Narrow"/>
          <w:sz w:val="24"/>
          <w:szCs w:val="24"/>
        </w:rPr>
        <w:t xml:space="preserve">Ensure that an adequate accounting system </w:t>
      </w:r>
      <w:proofErr w:type="gramStart"/>
      <w:r w:rsidRPr="006C0055">
        <w:rPr>
          <w:rFonts w:ascii="Aptos Narrow" w:hAnsi="Aptos Narrow"/>
          <w:sz w:val="24"/>
          <w:szCs w:val="24"/>
        </w:rPr>
        <w:t>in</w:t>
      </w:r>
      <w:proofErr w:type="gramEnd"/>
      <w:r w:rsidRPr="006C0055">
        <w:rPr>
          <w:rFonts w:ascii="Aptos Narrow" w:hAnsi="Aptos Narrow"/>
          <w:sz w:val="24"/>
          <w:szCs w:val="24"/>
        </w:rPr>
        <w:t xml:space="preserve"> place and appropriate internal controls to track and maintain expenditures.  The accounting standards and procedures for counties </w:t>
      </w:r>
      <w:r w:rsidRPr="006C0055">
        <w:rPr>
          <w:rFonts w:ascii="Aptos Narrow" w:hAnsi="Aptos Narrow"/>
          <w:sz w:val="24"/>
          <w:szCs w:val="24"/>
        </w:rPr>
        <w:lastRenderedPageBreak/>
        <w:t xml:space="preserve">provided by the State Controller’s Office are located at the following website:  </w:t>
      </w:r>
      <w:hyperlink r:id="rId9" w:history="1">
        <w:r w:rsidRPr="006C0055">
          <w:rPr>
            <w:rStyle w:val="Hyperlink"/>
            <w:rFonts w:ascii="Aptos Narrow" w:hAnsi="Aptos Narrow"/>
            <w:sz w:val="24"/>
            <w:szCs w:val="24"/>
          </w:rPr>
          <w:t>https://www.sco.ca.gov/Files-ARD-Local/asp_manual_2023_edition.pdf</w:t>
        </w:r>
      </w:hyperlink>
      <w:r w:rsidRPr="006C0055">
        <w:rPr>
          <w:rFonts w:ascii="Aptos Narrow" w:hAnsi="Aptos Narrow"/>
          <w:sz w:val="24"/>
          <w:szCs w:val="24"/>
        </w:rPr>
        <w:t xml:space="preserve">.  Counties are also required to comply with Federal guidance, 2 CFR Part 200, which  can be found at the following website: </w:t>
      </w:r>
      <w:hyperlink r:id="rId10" w:history="1">
        <w:r w:rsidRPr="006C0055">
          <w:rPr>
            <w:rStyle w:val="Hyperlink"/>
            <w:rFonts w:ascii="Aptos Narrow" w:hAnsi="Aptos Narrow"/>
            <w:sz w:val="24"/>
            <w:szCs w:val="24"/>
          </w:rPr>
          <w:t>https://www.ecfr.gov/cgi-bin/text-idx?tpl=/ecfrbrowse/Title02/2cfr200_main_02.tpl</w:t>
        </w:r>
      </w:hyperlink>
      <w:r w:rsidRPr="006C0055">
        <w:rPr>
          <w:rFonts w:ascii="Aptos Narrow" w:hAnsi="Aptos Narrow"/>
          <w:sz w:val="24"/>
          <w:szCs w:val="24"/>
        </w:rPr>
        <w:t>.</w:t>
      </w:r>
    </w:p>
    <w:p w14:paraId="1A404BF2" w14:textId="77777777" w:rsidR="00697E72" w:rsidRDefault="00697E72" w:rsidP="00697E72">
      <w:pPr>
        <w:pStyle w:val="ListParagraph"/>
        <w:numPr>
          <w:ilvl w:val="0"/>
          <w:numId w:val="1"/>
        </w:numPr>
      </w:pPr>
      <w:r>
        <w:t xml:space="preserve">Counties must submit invoices to PDCP at </w:t>
      </w:r>
      <w:hyperlink r:id="rId11" w:history="1">
        <w:r>
          <w:rPr>
            <w:rStyle w:val="Hyperlink"/>
          </w:rPr>
          <w:t>cdfa.pdcp_inv@cdfa.ca.gov</w:t>
        </w:r>
      </w:hyperlink>
      <w:r>
        <w:t xml:space="preserve"> no later than 30 calendar days after the end of the federal fiscal year (September 30, 2025) to initiate the close out process. </w:t>
      </w:r>
    </w:p>
    <w:p w14:paraId="154E74C3" w14:textId="77777777" w:rsidR="00920670" w:rsidRDefault="00920670" w:rsidP="00920670">
      <w:pPr>
        <w:pStyle w:val="ListParagraph"/>
        <w:numPr>
          <w:ilvl w:val="1"/>
          <w:numId w:val="1"/>
        </w:numPr>
        <w:spacing w:after="0" w:line="240" w:lineRule="auto"/>
        <w:jc w:val="both"/>
        <w:rPr>
          <w:rFonts w:ascii="Aptos Narrow" w:hAnsi="Aptos Narrow"/>
          <w:sz w:val="24"/>
          <w:szCs w:val="24"/>
        </w:rPr>
      </w:pPr>
      <w:r w:rsidRPr="00920670">
        <w:rPr>
          <w:rFonts w:ascii="Aptos Narrow" w:hAnsi="Aptos Narrow"/>
          <w:sz w:val="24"/>
          <w:szCs w:val="24"/>
        </w:rPr>
        <w:t xml:space="preserve">The invoice should be consistent with the budget, reflect actual expenditures for PDCP activities, and in the format provided in the template.  </w:t>
      </w:r>
    </w:p>
    <w:p w14:paraId="679B2270" w14:textId="77777777" w:rsidR="00920670" w:rsidRDefault="00920670" w:rsidP="00920670">
      <w:pPr>
        <w:pStyle w:val="ListParagraph"/>
        <w:numPr>
          <w:ilvl w:val="1"/>
          <w:numId w:val="1"/>
        </w:numPr>
        <w:spacing w:after="0" w:line="240" w:lineRule="auto"/>
        <w:jc w:val="both"/>
        <w:rPr>
          <w:rFonts w:ascii="Aptos Narrow" w:hAnsi="Aptos Narrow"/>
          <w:sz w:val="24"/>
          <w:szCs w:val="24"/>
        </w:rPr>
      </w:pPr>
      <w:r w:rsidRPr="00920670">
        <w:rPr>
          <w:rFonts w:ascii="Aptos Narrow" w:hAnsi="Aptos Narrow"/>
          <w:sz w:val="24"/>
          <w:szCs w:val="24"/>
        </w:rPr>
        <w:t xml:space="preserve">All employee salaries must be itemized at an hourly rate, not a salary range.  Also, actual salary and benefit rates for all employees must be separated and not put into one total that combines both figures.  </w:t>
      </w:r>
    </w:p>
    <w:p w14:paraId="1B038B44" w14:textId="77777777" w:rsidR="00920670" w:rsidRDefault="00920670" w:rsidP="00920670">
      <w:pPr>
        <w:pStyle w:val="ListParagraph"/>
        <w:numPr>
          <w:ilvl w:val="1"/>
          <w:numId w:val="1"/>
        </w:numPr>
        <w:spacing w:after="0" w:line="240" w:lineRule="auto"/>
        <w:jc w:val="both"/>
        <w:rPr>
          <w:rFonts w:ascii="Aptos Narrow" w:hAnsi="Aptos Narrow"/>
          <w:sz w:val="24"/>
          <w:szCs w:val="24"/>
        </w:rPr>
      </w:pPr>
      <w:r w:rsidRPr="00920670">
        <w:rPr>
          <w:rFonts w:ascii="Aptos Narrow" w:hAnsi="Aptos Narrow"/>
          <w:sz w:val="24"/>
          <w:szCs w:val="24"/>
        </w:rPr>
        <w:t xml:space="preserve">Totals must be rounded to the nearest cent, not the nearest dollar. </w:t>
      </w:r>
    </w:p>
    <w:p w14:paraId="5FC2275D" w14:textId="1A412305" w:rsidR="00EC3658" w:rsidRDefault="00EC3658" w:rsidP="00920670">
      <w:pPr>
        <w:pStyle w:val="ListParagraph"/>
        <w:numPr>
          <w:ilvl w:val="1"/>
          <w:numId w:val="1"/>
        </w:numPr>
        <w:spacing w:after="0" w:line="240" w:lineRule="auto"/>
        <w:jc w:val="both"/>
        <w:rPr>
          <w:rFonts w:ascii="Aptos Narrow" w:hAnsi="Aptos Narrow"/>
          <w:sz w:val="24"/>
          <w:szCs w:val="24"/>
        </w:rPr>
      </w:pPr>
      <w:r>
        <w:rPr>
          <w:rFonts w:ascii="Aptos Narrow" w:hAnsi="Aptos Narrow"/>
          <w:sz w:val="24"/>
          <w:szCs w:val="24"/>
        </w:rPr>
        <w:t xml:space="preserve">If there are no reportable hours </w:t>
      </w:r>
      <w:proofErr w:type="gramStart"/>
      <w:r>
        <w:rPr>
          <w:rFonts w:ascii="Aptos Narrow" w:hAnsi="Aptos Narrow"/>
          <w:sz w:val="24"/>
          <w:szCs w:val="24"/>
        </w:rPr>
        <w:t>in a given</w:t>
      </w:r>
      <w:proofErr w:type="gramEnd"/>
      <w:r>
        <w:rPr>
          <w:rFonts w:ascii="Aptos Narrow" w:hAnsi="Aptos Narrow"/>
          <w:sz w:val="24"/>
          <w:szCs w:val="24"/>
        </w:rPr>
        <w:t xml:space="preserve"> month, an invoice showing $0 must be submitted for documentation purposes.</w:t>
      </w:r>
    </w:p>
    <w:p w14:paraId="3BE40BF0" w14:textId="178E2776" w:rsidR="008F4301" w:rsidRPr="00920670" w:rsidRDefault="008F4301" w:rsidP="008F4301">
      <w:pPr>
        <w:pStyle w:val="ListParagraph"/>
        <w:numPr>
          <w:ilvl w:val="0"/>
          <w:numId w:val="1"/>
        </w:numPr>
        <w:ind w:right="-36"/>
        <w:jc w:val="both"/>
        <w:rPr>
          <w:rFonts w:ascii="Aptos Narrow" w:hAnsi="Aptos Narrow"/>
          <w:sz w:val="24"/>
          <w:szCs w:val="24"/>
        </w:rPr>
      </w:pPr>
      <w:r w:rsidRPr="006C0055">
        <w:rPr>
          <w:rFonts w:ascii="Aptos Narrow" w:hAnsi="Aptos Narrow"/>
          <w:sz w:val="24"/>
          <w:szCs w:val="24"/>
        </w:rPr>
        <w:t xml:space="preserve">Submit the county Monthly Activity Report </w:t>
      </w:r>
      <w:proofErr w:type="gramStart"/>
      <w:r w:rsidRPr="006C0055">
        <w:rPr>
          <w:rFonts w:ascii="Aptos Narrow" w:hAnsi="Aptos Narrow"/>
          <w:sz w:val="24"/>
          <w:szCs w:val="24"/>
        </w:rPr>
        <w:t>on a monthly basis</w:t>
      </w:r>
      <w:proofErr w:type="gramEnd"/>
      <w:r w:rsidR="00EC3658">
        <w:rPr>
          <w:rFonts w:ascii="Aptos Narrow" w:hAnsi="Aptos Narrow"/>
          <w:sz w:val="24"/>
          <w:szCs w:val="24"/>
        </w:rPr>
        <w:t xml:space="preserve"> in accordance with the Monthly Activity Report Guidelines</w:t>
      </w:r>
      <w:r w:rsidRPr="006C0055">
        <w:rPr>
          <w:rFonts w:ascii="Aptos Narrow" w:hAnsi="Aptos Narrow"/>
          <w:sz w:val="24"/>
          <w:szCs w:val="24"/>
        </w:rPr>
        <w:t xml:space="preserve">.  </w:t>
      </w:r>
    </w:p>
    <w:p w14:paraId="1ABDDE69" w14:textId="70F994FD" w:rsidR="00920670" w:rsidRPr="00920670" w:rsidRDefault="00920670" w:rsidP="00920670">
      <w:pPr>
        <w:pStyle w:val="ListParagraph"/>
        <w:numPr>
          <w:ilvl w:val="0"/>
          <w:numId w:val="1"/>
        </w:numPr>
        <w:rPr>
          <w:rFonts w:ascii="Aptos Narrow" w:hAnsi="Aptos Narrow"/>
          <w:sz w:val="24"/>
          <w:szCs w:val="24"/>
        </w:rPr>
      </w:pPr>
      <w:r w:rsidRPr="00920670">
        <w:rPr>
          <w:rFonts w:ascii="Aptos Narrow" w:hAnsi="Aptos Narrow"/>
          <w:sz w:val="24"/>
          <w:szCs w:val="24"/>
        </w:rPr>
        <w:t>Report expenditures</w:t>
      </w:r>
      <w:r>
        <w:rPr>
          <w:rFonts w:ascii="Aptos Narrow" w:hAnsi="Aptos Narrow"/>
          <w:sz w:val="24"/>
          <w:szCs w:val="24"/>
        </w:rPr>
        <w:t xml:space="preserve"> and activity hours</w:t>
      </w:r>
      <w:r w:rsidRPr="00920670">
        <w:rPr>
          <w:rFonts w:ascii="Aptos Narrow" w:hAnsi="Aptos Narrow"/>
          <w:sz w:val="24"/>
          <w:szCs w:val="24"/>
        </w:rPr>
        <w:t xml:space="preserve"> on a statement of expenditures </w:t>
      </w:r>
      <w:proofErr w:type="gramStart"/>
      <w:r>
        <w:rPr>
          <w:rFonts w:ascii="Aptos Narrow" w:hAnsi="Aptos Narrow"/>
          <w:sz w:val="24"/>
          <w:szCs w:val="24"/>
        </w:rPr>
        <w:t>on a monthly basis</w:t>
      </w:r>
      <w:proofErr w:type="gramEnd"/>
      <w:r>
        <w:rPr>
          <w:rFonts w:ascii="Aptos Narrow" w:hAnsi="Aptos Narrow"/>
          <w:sz w:val="24"/>
          <w:szCs w:val="24"/>
        </w:rPr>
        <w:t xml:space="preserve"> </w:t>
      </w:r>
      <w:r w:rsidRPr="00920670">
        <w:rPr>
          <w:rFonts w:ascii="Aptos Narrow" w:hAnsi="Aptos Narrow"/>
          <w:sz w:val="24"/>
          <w:szCs w:val="24"/>
        </w:rPr>
        <w:t xml:space="preserve">to allow PDCP to track </w:t>
      </w:r>
      <w:proofErr w:type="gramStart"/>
      <w:r w:rsidRPr="00920670">
        <w:rPr>
          <w:rFonts w:ascii="Aptos Narrow" w:hAnsi="Aptos Narrow"/>
          <w:sz w:val="24"/>
          <w:szCs w:val="24"/>
        </w:rPr>
        <w:t>county in</w:t>
      </w:r>
      <w:proofErr w:type="gramEnd"/>
      <w:r w:rsidRPr="00920670">
        <w:rPr>
          <w:rFonts w:ascii="Aptos Narrow" w:hAnsi="Aptos Narrow"/>
          <w:sz w:val="24"/>
          <w:szCs w:val="24"/>
        </w:rPr>
        <w:t xml:space="preserve">-kind contributions for reimbursable activities once the funding for the agreement is exhausted.  The statements of </w:t>
      </w:r>
      <w:proofErr w:type="gramStart"/>
      <w:r w:rsidRPr="00920670">
        <w:rPr>
          <w:rFonts w:ascii="Aptos Narrow" w:hAnsi="Aptos Narrow"/>
          <w:sz w:val="24"/>
          <w:szCs w:val="24"/>
        </w:rPr>
        <w:t>expenditures</w:t>
      </w:r>
      <w:proofErr w:type="gramEnd"/>
      <w:r w:rsidRPr="00920670">
        <w:rPr>
          <w:rFonts w:ascii="Aptos Narrow" w:hAnsi="Aptos Narrow"/>
          <w:sz w:val="24"/>
          <w:szCs w:val="24"/>
        </w:rPr>
        <w:t xml:space="preserve"> should be completed and submitted in the same manner as invoices.</w:t>
      </w:r>
      <w:r>
        <w:rPr>
          <w:rFonts w:ascii="Aptos Narrow" w:hAnsi="Aptos Narrow"/>
          <w:sz w:val="24"/>
          <w:szCs w:val="24"/>
        </w:rPr>
        <w:t xml:space="preserve">  </w:t>
      </w:r>
    </w:p>
    <w:p w14:paraId="2050EF05" w14:textId="59D39D8F" w:rsidR="008F4301" w:rsidRPr="006C0055" w:rsidRDefault="008F4301" w:rsidP="008F4301">
      <w:pPr>
        <w:pStyle w:val="ListParagraph"/>
        <w:numPr>
          <w:ilvl w:val="0"/>
          <w:numId w:val="1"/>
        </w:numPr>
        <w:ind w:right="-36"/>
        <w:jc w:val="both"/>
        <w:rPr>
          <w:rFonts w:ascii="Aptos Narrow" w:hAnsi="Aptos Narrow"/>
          <w:sz w:val="24"/>
          <w:szCs w:val="24"/>
        </w:rPr>
      </w:pPr>
      <w:r w:rsidRPr="006C0055">
        <w:rPr>
          <w:rFonts w:ascii="Aptos Narrow" w:hAnsi="Aptos Narrow"/>
          <w:sz w:val="24"/>
          <w:szCs w:val="24"/>
        </w:rPr>
        <w:t xml:space="preserve">Submit a written request for an amendment to PDCP if new activities become necessary (delimitation or treatment, for example) that require additional funds and/or departure from the approved workplan.  An amendment to this agreement must be awarded before new activities can commence.   </w:t>
      </w:r>
    </w:p>
    <w:p w14:paraId="5A9DBA56" w14:textId="19272B42" w:rsidR="00920670" w:rsidRDefault="008F4301" w:rsidP="00920670">
      <w:pPr>
        <w:pStyle w:val="ListParagraph"/>
        <w:numPr>
          <w:ilvl w:val="0"/>
          <w:numId w:val="1"/>
        </w:numPr>
        <w:spacing w:after="0" w:line="240" w:lineRule="auto"/>
        <w:jc w:val="both"/>
        <w:rPr>
          <w:rFonts w:ascii="Aptos Narrow" w:hAnsi="Aptos Narrow"/>
          <w:sz w:val="24"/>
          <w:szCs w:val="24"/>
        </w:rPr>
      </w:pPr>
      <w:r w:rsidRPr="006C0055">
        <w:rPr>
          <w:rFonts w:ascii="Aptos Narrow" w:hAnsi="Aptos Narrow"/>
          <w:sz w:val="24"/>
          <w:szCs w:val="24"/>
        </w:rPr>
        <w:t xml:space="preserve">Upon request by CDFA, and in accordance with Federal regulations and policy, the county must complete the Certification Regarding Debarment, Suspension, Ineligibility and Voluntary Exclusion-Lower Tier Covered Transactions (Form AD 1048) and return it to CDFA.  </w:t>
      </w:r>
    </w:p>
    <w:p w14:paraId="0EB33781" w14:textId="77777777" w:rsidR="00920670" w:rsidRDefault="00920670">
      <w:pPr>
        <w:rPr>
          <w:rFonts w:ascii="Aptos Narrow" w:hAnsi="Aptos Narrow"/>
          <w:sz w:val="24"/>
          <w:szCs w:val="24"/>
        </w:rPr>
      </w:pPr>
      <w:r>
        <w:rPr>
          <w:rFonts w:ascii="Aptos Narrow" w:hAnsi="Aptos Narrow"/>
          <w:sz w:val="24"/>
          <w:szCs w:val="24"/>
        </w:rPr>
        <w:br w:type="page"/>
      </w:r>
    </w:p>
    <w:p w14:paraId="7299D581" w14:textId="679A9B71" w:rsidR="00920670" w:rsidRDefault="00920670" w:rsidP="0023784A">
      <w:pPr>
        <w:pStyle w:val="ListParagraph"/>
        <w:spacing w:after="0" w:line="240" w:lineRule="auto"/>
        <w:jc w:val="center"/>
        <w:rPr>
          <w:rFonts w:ascii="Aptos Narrow" w:hAnsi="Aptos Narrow"/>
          <w:b/>
          <w:bCs/>
          <w:sz w:val="24"/>
          <w:szCs w:val="24"/>
        </w:rPr>
      </w:pPr>
      <w:r w:rsidRPr="00920670">
        <w:rPr>
          <w:rFonts w:ascii="Aptos Narrow" w:hAnsi="Aptos Narrow"/>
          <w:b/>
          <w:bCs/>
          <w:sz w:val="24"/>
          <w:szCs w:val="24"/>
        </w:rPr>
        <w:lastRenderedPageBreak/>
        <w:t>ALLOWABLE COSTS</w:t>
      </w:r>
    </w:p>
    <w:p w14:paraId="5B090EA3" w14:textId="77777777" w:rsidR="00A57C06" w:rsidRPr="0023784A" w:rsidRDefault="00A57C06" w:rsidP="0023784A">
      <w:pPr>
        <w:pStyle w:val="ListParagraph"/>
        <w:spacing w:after="0" w:line="240" w:lineRule="auto"/>
        <w:jc w:val="center"/>
        <w:rPr>
          <w:rFonts w:ascii="Aptos Narrow" w:hAnsi="Aptos Narrow"/>
          <w:b/>
          <w:bCs/>
          <w:sz w:val="24"/>
          <w:szCs w:val="24"/>
        </w:rPr>
      </w:pPr>
    </w:p>
    <w:p w14:paraId="76332790" w14:textId="77777777" w:rsidR="00920670" w:rsidRPr="00920670" w:rsidRDefault="00920670" w:rsidP="00920670">
      <w:pPr>
        <w:spacing w:after="0" w:line="240" w:lineRule="auto"/>
        <w:jc w:val="both"/>
        <w:rPr>
          <w:rFonts w:ascii="Aptos Narrow" w:hAnsi="Aptos Narrow"/>
          <w:sz w:val="24"/>
          <w:szCs w:val="24"/>
        </w:rPr>
      </w:pPr>
      <w:r w:rsidRPr="00920670">
        <w:rPr>
          <w:rFonts w:ascii="Aptos Narrow" w:hAnsi="Aptos Narrow"/>
          <w:sz w:val="24"/>
          <w:szCs w:val="24"/>
        </w:rPr>
        <w:t>All costs must be associated with the PDCP.</w:t>
      </w:r>
    </w:p>
    <w:p w14:paraId="2381AF55" w14:textId="77777777" w:rsidR="00920670" w:rsidRPr="00920670" w:rsidRDefault="00920670" w:rsidP="00920670">
      <w:pPr>
        <w:spacing w:after="0" w:line="240" w:lineRule="auto"/>
        <w:jc w:val="both"/>
        <w:rPr>
          <w:rFonts w:ascii="Aptos Narrow" w:hAnsi="Aptos Narrow"/>
          <w:sz w:val="24"/>
          <w:szCs w:val="24"/>
        </w:rPr>
      </w:pPr>
    </w:p>
    <w:p w14:paraId="413018A2" w14:textId="77777777" w:rsidR="00920670" w:rsidRPr="00920670" w:rsidRDefault="00920670" w:rsidP="00920670">
      <w:pPr>
        <w:spacing w:after="0" w:line="240" w:lineRule="auto"/>
        <w:jc w:val="both"/>
        <w:rPr>
          <w:rFonts w:ascii="Aptos Narrow" w:hAnsi="Aptos Narrow"/>
          <w:b/>
          <w:bCs/>
          <w:sz w:val="24"/>
          <w:szCs w:val="24"/>
        </w:rPr>
      </w:pPr>
      <w:r w:rsidRPr="00920670">
        <w:rPr>
          <w:rFonts w:ascii="Aptos Narrow" w:hAnsi="Aptos Narrow"/>
          <w:b/>
          <w:bCs/>
          <w:sz w:val="24"/>
          <w:szCs w:val="24"/>
        </w:rPr>
        <w:t>Personnel Services</w:t>
      </w:r>
    </w:p>
    <w:p w14:paraId="50EF2933" w14:textId="77777777" w:rsidR="00A91613" w:rsidRPr="0023784A" w:rsidRDefault="00920670" w:rsidP="0023784A">
      <w:pPr>
        <w:pStyle w:val="ListParagraph"/>
        <w:numPr>
          <w:ilvl w:val="0"/>
          <w:numId w:val="13"/>
        </w:numPr>
        <w:spacing w:after="0" w:line="240" w:lineRule="auto"/>
        <w:jc w:val="both"/>
        <w:rPr>
          <w:rFonts w:ascii="Aptos Narrow" w:hAnsi="Aptos Narrow"/>
          <w:sz w:val="24"/>
          <w:szCs w:val="24"/>
        </w:rPr>
      </w:pPr>
      <w:r w:rsidRPr="0023784A">
        <w:rPr>
          <w:rFonts w:ascii="Aptos Narrow" w:hAnsi="Aptos Narrow"/>
          <w:sz w:val="24"/>
          <w:szCs w:val="24"/>
        </w:rPr>
        <w:t xml:space="preserve">Permanent and Temporary Staff Salary and Benefits – Actual staff salary and benefits charged to the county for employees working on the PDCP program.  Agricultural Commissioner time is not an allowable charge except where the Agricultural Commissioner is the only supervisor in the department.  </w:t>
      </w:r>
    </w:p>
    <w:p w14:paraId="30164147" w14:textId="77777777" w:rsidR="00A91613" w:rsidRDefault="00A91613" w:rsidP="00920670">
      <w:pPr>
        <w:spacing w:after="0" w:line="240" w:lineRule="auto"/>
        <w:jc w:val="both"/>
        <w:rPr>
          <w:rFonts w:ascii="Aptos Narrow" w:hAnsi="Aptos Narrow"/>
          <w:sz w:val="24"/>
          <w:szCs w:val="24"/>
        </w:rPr>
      </w:pPr>
    </w:p>
    <w:p w14:paraId="6D2DE700" w14:textId="020C61F2" w:rsidR="00920670" w:rsidRPr="0023784A" w:rsidRDefault="00920670" w:rsidP="0023784A">
      <w:pPr>
        <w:pStyle w:val="ListParagraph"/>
        <w:spacing w:after="0" w:line="240" w:lineRule="auto"/>
        <w:jc w:val="both"/>
        <w:rPr>
          <w:rFonts w:ascii="Aptos Narrow" w:hAnsi="Aptos Narrow"/>
          <w:sz w:val="24"/>
          <w:szCs w:val="24"/>
        </w:rPr>
      </w:pPr>
      <w:r w:rsidRPr="0023784A">
        <w:rPr>
          <w:rFonts w:ascii="Aptos Narrow" w:hAnsi="Aptos Narrow"/>
          <w:sz w:val="24"/>
          <w:szCs w:val="24"/>
        </w:rPr>
        <w:t>Contracted employees need to be listed separately from agency staff and their salary and benefits cannot be factored in as part of the indirect billing for personnel services.</w:t>
      </w:r>
    </w:p>
    <w:p w14:paraId="1503D746" w14:textId="77777777" w:rsidR="00920670" w:rsidRDefault="00920670" w:rsidP="00920670">
      <w:pPr>
        <w:spacing w:after="0" w:line="240" w:lineRule="auto"/>
        <w:jc w:val="both"/>
        <w:rPr>
          <w:rFonts w:ascii="Aptos Narrow" w:hAnsi="Aptos Narrow"/>
          <w:sz w:val="24"/>
          <w:szCs w:val="24"/>
        </w:rPr>
      </w:pPr>
    </w:p>
    <w:p w14:paraId="4166D5A1" w14:textId="06D38ECD" w:rsidR="00EC3658" w:rsidRPr="0023784A" w:rsidRDefault="00C436EE" w:rsidP="0023784A">
      <w:pPr>
        <w:pStyle w:val="ListParagraph"/>
        <w:spacing w:after="0" w:line="240" w:lineRule="auto"/>
        <w:jc w:val="both"/>
        <w:rPr>
          <w:rFonts w:ascii="Aptos Narrow" w:hAnsi="Aptos Narrow"/>
          <w:sz w:val="24"/>
          <w:szCs w:val="24"/>
        </w:rPr>
      </w:pPr>
      <w:r w:rsidRPr="0023784A">
        <w:rPr>
          <w:rFonts w:ascii="Aptos Narrow" w:hAnsi="Aptos Narrow"/>
          <w:sz w:val="24"/>
          <w:szCs w:val="24"/>
        </w:rPr>
        <w:t xml:space="preserve">Personnel costs related to outreach and </w:t>
      </w:r>
      <w:r w:rsidR="0023784A" w:rsidRPr="0023784A">
        <w:rPr>
          <w:rFonts w:ascii="Aptos Narrow" w:hAnsi="Aptos Narrow"/>
          <w:sz w:val="24"/>
          <w:szCs w:val="24"/>
        </w:rPr>
        <w:t>miscellaneous activities</w:t>
      </w:r>
      <w:r w:rsidRPr="0023784A">
        <w:rPr>
          <w:rFonts w:ascii="Aptos Narrow" w:hAnsi="Aptos Narrow"/>
          <w:sz w:val="24"/>
          <w:szCs w:val="24"/>
        </w:rPr>
        <w:t xml:space="preserve"> (F3 and F5 on the monthly activity report, respectively) must receive written prior approval from PDCP.</w:t>
      </w:r>
    </w:p>
    <w:p w14:paraId="2A0E74F9" w14:textId="77777777" w:rsidR="00EC3658" w:rsidRPr="00920670" w:rsidRDefault="00EC3658" w:rsidP="00920670">
      <w:pPr>
        <w:spacing w:after="0" w:line="240" w:lineRule="auto"/>
        <w:jc w:val="both"/>
        <w:rPr>
          <w:rFonts w:ascii="Aptos Narrow" w:hAnsi="Aptos Narrow"/>
          <w:sz w:val="24"/>
          <w:szCs w:val="24"/>
        </w:rPr>
      </w:pPr>
    </w:p>
    <w:p w14:paraId="4F665E0A" w14:textId="77777777" w:rsidR="00920670" w:rsidRPr="0023784A" w:rsidRDefault="00920670" w:rsidP="0023784A">
      <w:pPr>
        <w:pStyle w:val="ListParagraph"/>
        <w:numPr>
          <w:ilvl w:val="0"/>
          <w:numId w:val="13"/>
        </w:numPr>
        <w:spacing w:after="0" w:line="240" w:lineRule="auto"/>
        <w:jc w:val="both"/>
        <w:rPr>
          <w:rFonts w:ascii="Aptos Narrow" w:hAnsi="Aptos Narrow"/>
          <w:sz w:val="24"/>
          <w:szCs w:val="24"/>
        </w:rPr>
      </w:pPr>
      <w:r w:rsidRPr="0023784A">
        <w:rPr>
          <w:rFonts w:ascii="Aptos Narrow" w:hAnsi="Aptos Narrow"/>
          <w:sz w:val="24"/>
          <w:szCs w:val="24"/>
        </w:rPr>
        <w:t>Overtime – Overtime costs associated with the program.</w:t>
      </w:r>
    </w:p>
    <w:p w14:paraId="253275A8" w14:textId="77777777" w:rsidR="00920670" w:rsidRPr="00920670" w:rsidRDefault="00920670" w:rsidP="00920670">
      <w:pPr>
        <w:spacing w:after="0" w:line="240" w:lineRule="auto"/>
        <w:jc w:val="both"/>
        <w:rPr>
          <w:rFonts w:ascii="Aptos Narrow" w:hAnsi="Aptos Narrow"/>
          <w:sz w:val="24"/>
          <w:szCs w:val="24"/>
        </w:rPr>
      </w:pPr>
    </w:p>
    <w:p w14:paraId="1BD88793" w14:textId="77777777" w:rsidR="00920670" w:rsidRPr="00EC3658" w:rsidRDefault="00920670" w:rsidP="00920670">
      <w:pPr>
        <w:spacing w:after="0" w:line="240" w:lineRule="auto"/>
        <w:jc w:val="both"/>
        <w:rPr>
          <w:rFonts w:ascii="Aptos Narrow" w:hAnsi="Aptos Narrow"/>
          <w:b/>
          <w:bCs/>
          <w:sz w:val="24"/>
          <w:szCs w:val="24"/>
        </w:rPr>
      </w:pPr>
      <w:r w:rsidRPr="00EC3658">
        <w:rPr>
          <w:rFonts w:ascii="Aptos Narrow" w:hAnsi="Aptos Narrow"/>
          <w:b/>
          <w:bCs/>
          <w:sz w:val="24"/>
          <w:szCs w:val="24"/>
        </w:rPr>
        <w:t>Operating Expenses</w:t>
      </w:r>
    </w:p>
    <w:p w14:paraId="106E3667" w14:textId="535C0258"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General Expense – Costs associated with office and field supplies that are solely used for PDCP activities.  Water purchased for employees is NOT reimbursable under this agreement.</w:t>
      </w:r>
    </w:p>
    <w:p w14:paraId="33A29748" w14:textId="378763F8"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Postage – Costs associated with mailing materials.</w:t>
      </w:r>
    </w:p>
    <w:p w14:paraId="30E85C47" w14:textId="2838D282"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Communications – Costs associated with telephone/communication usage that are solely used for PDCP activities.</w:t>
      </w:r>
    </w:p>
    <w:p w14:paraId="356B4906" w14:textId="550BAFDF" w:rsidR="00C436EE"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 xml:space="preserve">Vehicle Expense – Costs associated with vehicle usage.  All costs must be specifically displayed (for example, number of miles times appropriate rate).  </w:t>
      </w:r>
    </w:p>
    <w:p w14:paraId="10188DD1" w14:textId="25D2DF72"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County, state, or federal vehicles – The county may charge vehicle costs on an actual cost basis or a mileage basis in lieu of actual costs incurred.  However, both types of costs cannot be invoiced for the same vehicles.</w:t>
      </w:r>
    </w:p>
    <w:p w14:paraId="19053198" w14:textId="7D0A0BEB"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 xml:space="preserve">Mileage – mileage reimbursement covers gasoline, cost of maintenance, insurance, licensing and registration, and depreciation and all other costs associated with operation of the vehicle.  Subject to change due to federal mileage rate change; effective January 1, </w:t>
      </w:r>
      <w:proofErr w:type="gramStart"/>
      <w:r w:rsidRPr="0023784A">
        <w:rPr>
          <w:rFonts w:ascii="Aptos Narrow" w:hAnsi="Aptos Narrow"/>
          <w:sz w:val="24"/>
          <w:szCs w:val="24"/>
        </w:rPr>
        <w:t>202</w:t>
      </w:r>
      <w:r w:rsidR="00A85A80">
        <w:rPr>
          <w:rFonts w:ascii="Aptos Narrow" w:hAnsi="Aptos Narrow"/>
          <w:sz w:val="24"/>
          <w:szCs w:val="24"/>
        </w:rPr>
        <w:t>5</w:t>
      </w:r>
      <w:proofErr w:type="gramEnd"/>
      <w:r w:rsidRPr="0023784A">
        <w:rPr>
          <w:rFonts w:ascii="Aptos Narrow" w:hAnsi="Aptos Narrow"/>
          <w:sz w:val="24"/>
          <w:szCs w:val="24"/>
        </w:rPr>
        <w:t xml:space="preserve"> the rates are:</w:t>
      </w:r>
    </w:p>
    <w:p w14:paraId="774C5434" w14:textId="68E2BA1F" w:rsidR="00920670" w:rsidRPr="0023784A" w:rsidRDefault="00920670" w:rsidP="0023784A">
      <w:pPr>
        <w:pStyle w:val="ListParagraph"/>
        <w:numPr>
          <w:ilvl w:val="1"/>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County Vehicle – up to $.</w:t>
      </w:r>
      <w:r w:rsidR="00A85A80">
        <w:rPr>
          <w:rFonts w:ascii="Aptos Narrow" w:hAnsi="Aptos Narrow"/>
          <w:sz w:val="24"/>
          <w:szCs w:val="24"/>
        </w:rPr>
        <w:t>70</w:t>
      </w:r>
      <w:r w:rsidRPr="0023784A">
        <w:rPr>
          <w:rFonts w:ascii="Aptos Narrow" w:hAnsi="Aptos Narrow"/>
          <w:sz w:val="24"/>
          <w:szCs w:val="24"/>
        </w:rPr>
        <w:t xml:space="preserve"> per mile</w:t>
      </w:r>
    </w:p>
    <w:p w14:paraId="76E65D87" w14:textId="568853CD" w:rsidR="00920670" w:rsidRPr="00A57C06" w:rsidRDefault="00920670" w:rsidP="00C70753">
      <w:pPr>
        <w:pStyle w:val="ListParagraph"/>
        <w:numPr>
          <w:ilvl w:val="0"/>
          <w:numId w:val="13"/>
        </w:numPr>
        <w:spacing w:after="120" w:line="240" w:lineRule="auto"/>
        <w:contextualSpacing w:val="0"/>
        <w:jc w:val="both"/>
        <w:rPr>
          <w:rFonts w:ascii="Aptos Narrow" w:hAnsi="Aptos Narrow"/>
          <w:sz w:val="24"/>
          <w:szCs w:val="24"/>
        </w:rPr>
      </w:pPr>
      <w:r w:rsidRPr="00A57C06">
        <w:rPr>
          <w:rFonts w:ascii="Aptos Narrow" w:hAnsi="Aptos Narrow"/>
          <w:sz w:val="24"/>
          <w:szCs w:val="24"/>
        </w:rPr>
        <w:t xml:space="preserve">Leased vehicles – The county may only charge actual costs basis, including for fuel.  The least expensive method should be used to secure a vehicle. Consult with Program prior to adding a leased vehicle to your budget. </w:t>
      </w:r>
    </w:p>
    <w:p w14:paraId="49680B96" w14:textId="77777777" w:rsidR="00A57C06" w:rsidRDefault="00920670" w:rsidP="00696050">
      <w:pPr>
        <w:pStyle w:val="ListParagraph"/>
        <w:numPr>
          <w:ilvl w:val="0"/>
          <w:numId w:val="13"/>
        </w:numPr>
        <w:spacing w:after="120" w:line="240" w:lineRule="auto"/>
        <w:contextualSpacing w:val="0"/>
        <w:jc w:val="both"/>
        <w:rPr>
          <w:rFonts w:ascii="Aptos Narrow" w:hAnsi="Aptos Narrow"/>
          <w:sz w:val="24"/>
          <w:szCs w:val="24"/>
        </w:rPr>
      </w:pPr>
      <w:r w:rsidRPr="00A57C06">
        <w:rPr>
          <w:rFonts w:ascii="Aptos Narrow" w:hAnsi="Aptos Narrow"/>
          <w:sz w:val="24"/>
          <w:szCs w:val="24"/>
        </w:rPr>
        <w:t>Travel – Costs associated with travel (per diem, airfare, car rental, etc.).  Travel is only reimbursable if CDFA has requested/approved the travel.</w:t>
      </w:r>
      <w:r w:rsidR="00A57C06">
        <w:rPr>
          <w:rFonts w:ascii="Aptos Narrow" w:hAnsi="Aptos Narrow"/>
          <w:sz w:val="24"/>
          <w:szCs w:val="24"/>
        </w:rPr>
        <w:t xml:space="preserve"> </w:t>
      </w:r>
    </w:p>
    <w:p w14:paraId="08A2676B" w14:textId="102A7F73" w:rsidR="00920670" w:rsidRPr="00A57C06" w:rsidRDefault="00920670" w:rsidP="00696050">
      <w:pPr>
        <w:pStyle w:val="ListParagraph"/>
        <w:numPr>
          <w:ilvl w:val="0"/>
          <w:numId w:val="13"/>
        </w:numPr>
        <w:spacing w:after="120" w:line="240" w:lineRule="auto"/>
        <w:contextualSpacing w:val="0"/>
        <w:jc w:val="both"/>
        <w:rPr>
          <w:rFonts w:ascii="Aptos Narrow" w:hAnsi="Aptos Narrow"/>
          <w:sz w:val="24"/>
          <w:szCs w:val="24"/>
        </w:rPr>
      </w:pPr>
      <w:r w:rsidRPr="00A57C06">
        <w:rPr>
          <w:rFonts w:ascii="Aptos Narrow" w:hAnsi="Aptos Narrow"/>
          <w:sz w:val="24"/>
          <w:szCs w:val="24"/>
        </w:rPr>
        <w:lastRenderedPageBreak/>
        <w:t>Treatment – Costs associated with treatment activities (employee time, pest control operator charges, etc.)</w:t>
      </w:r>
    </w:p>
    <w:p w14:paraId="3E149D9C" w14:textId="1152B17F"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Indirect Cost – Costs that are incurred for a common or joint purpose objectives that cannot be identified specifically with a particular project, program, or organizational activity. Typical indirect costs include but are not limited to administrative or clerical staff costs, rent, utilities and internet service, cellular and land-line telephone service, general office supplies, and insurance.  Up to 25% of Personnel Services cost (includes salaries and staff benefits).</w:t>
      </w:r>
    </w:p>
    <w:p w14:paraId="6FD2D7B5" w14:textId="2C700757" w:rsidR="00920670" w:rsidRPr="00920670" w:rsidRDefault="00920670" w:rsidP="0023784A">
      <w:pPr>
        <w:pStyle w:val="ListParagraph"/>
        <w:spacing w:after="120" w:line="240" w:lineRule="auto"/>
        <w:contextualSpacing w:val="0"/>
        <w:jc w:val="both"/>
        <w:rPr>
          <w:rFonts w:ascii="Aptos Narrow" w:hAnsi="Aptos Narrow"/>
          <w:sz w:val="24"/>
          <w:szCs w:val="24"/>
        </w:rPr>
      </w:pPr>
      <w:proofErr w:type="gramStart"/>
      <w:r w:rsidRPr="0023784A">
        <w:rPr>
          <w:rFonts w:ascii="Aptos Narrow" w:hAnsi="Aptos Narrow"/>
          <w:sz w:val="24"/>
          <w:szCs w:val="24"/>
        </w:rPr>
        <w:t>Any</w:t>
      </w:r>
      <w:proofErr w:type="gramEnd"/>
      <w:r w:rsidRPr="0023784A">
        <w:rPr>
          <w:rFonts w:ascii="Aptos Narrow" w:hAnsi="Aptos Narrow"/>
          <w:sz w:val="24"/>
          <w:szCs w:val="24"/>
        </w:rPr>
        <w:t xml:space="preserve"> contracted employees cannot be factored in as part of the indirect billing for personnel services.</w:t>
      </w:r>
    </w:p>
    <w:p w14:paraId="06AA411B" w14:textId="77777777" w:rsidR="00920670" w:rsidRPr="0023784A" w:rsidRDefault="00920670" w:rsidP="0023784A">
      <w:pPr>
        <w:pStyle w:val="ListParagraph"/>
        <w:numPr>
          <w:ilvl w:val="0"/>
          <w:numId w:val="13"/>
        </w:numPr>
        <w:spacing w:after="120" w:line="240" w:lineRule="auto"/>
        <w:contextualSpacing w:val="0"/>
        <w:jc w:val="both"/>
        <w:rPr>
          <w:rFonts w:ascii="Aptos Narrow" w:hAnsi="Aptos Narrow"/>
          <w:sz w:val="24"/>
          <w:szCs w:val="24"/>
        </w:rPr>
      </w:pPr>
      <w:r w:rsidRPr="0023784A">
        <w:rPr>
          <w:rFonts w:ascii="Aptos Narrow" w:hAnsi="Aptos Narrow"/>
          <w:sz w:val="24"/>
          <w:szCs w:val="24"/>
        </w:rPr>
        <w:t>Other – Specifically detailed costs not otherwise addressed above.</w:t>
      </w:r>
    </w:p>
    <w:p w14:paraId="131481FD" w14:textId="77777777" w:rsidR="0023784A" w:rsidRDefault="0023784A" w:rsidP="00920670">
      <w:pPr>
        <w:spacing w:after="0" w:line="240" w:lineRule="auto"/>
        <w:jc w:val="both"/>
        <w:rPr>
          <w:rFonts w:ascii="Aptos Narrow" w:hAnsi="Aptos Narrow"/>
          <w:sz w:val="24"/>
          <w:szCs w:val="24"/>
        </w:rPr>
      </w:pPr>
    </w:p>
    <w:p w14:paraId="5C59C2B0" w14:textId="77777777" w:rsidR="0023784A" w:rsidRPr="00920670" w:rsidRDefault="0023784A" w:rsidP="00920670">
      <w:pPr>
        <w:spacing w:after="0" w:line="240" w:lineRule="auto"/>
        <w:jc w:val="both"/>
        <w:rPr>
          <w:rFonts w:ascii="Aptos Narrow" w:hAnsi="Aptos Narrow"/>
          <w:sz w:val="24"/>
          <w:szCs w:val="24"/>
        </w:rPr>
      </w:pPr>
    </w:p>
    <w:p w14:paraId="0C5DC95D" w14:textId="2B16A27E" w:rsidR="00E909AF" w:rsidRPr="0023784A" w:rsidRDefault="00E909AF" w:rsidP="0023784A">
      <w:pPr>
        <w:spacing w:after="0" w:line="240" w:lineRule="auto"/>
        <w:jc w:val="center"/>
        <w:rPr>
          <w:rFonts w:ascii="Aptos Narrow" w:hAnsi="Aptos Narrow"/>
          <w:sz w:val="24"/>
          <w:szCs w:val="24"/>
        </w:rPr>
      </w:pPr>
      <w:r w:rsidRPr="006C0055">
        <w:rPr>
          <w:rFonts w:ascii="Aptos Narrow" w:hAnsi="Aptos Narrow"/>
          <w:b/>
          <w:bCs/>
          <w:sz w:val="24"/>
          <w:szCs w:val="24"/>
        </w:rPr>
        <w:t>ENFORCEMENT OPTIONS AND AUTHORITIES</w:t>
      </w:r>
    </w:p>
    <w:p w14:paraId="039118AC" w14:textId="77777777" w:rsidR="00AE6BDD" w:rsidRPr="006C0055" w:rsidRDefault="00AE6BDD" w:rsidP="00F057F9">
      <w:pPr>
        <w:spacing w:after="0" w:line="240" w:lineRule="auto"/>
        <w:rPr>
          <w:rFonts w:ascii="Aptos Narrow" w:hAnsi="Aptos Narrow"/>
          <w:b/>
          <w:bCs/>
          <w:sz w:val="24"/>
          <w:szCs w:val="24"/>
        </w:rPr>
      </w:pPr>
    </w:p>
    <w:p w14:paraId="0502A3B2" w14:textId="1CA74D88" w:rsidR="00E909AF" w:rsidRPr="006C0055" w:rsidRDefault="00E909AF" w:rsidP="009E42A8">
      <w:pPr>
        <w:spacing w:after="0" w:line="240" w:lineRule="auto"/>
        <w:jc w:val="both"/>
        <w:rPr>
          <w:rFonts w:ascii="Aptos Narrow" w:hAnsi="Aptos Narrow"/>
          <w:sz w:val="24"/>
          <w:szCs w:val="24"/>
        </w:rPr>
      </w:pPr>
      <w:r w:rsidRPr="006C0055">
        <w:rPr>
          <w:rFonts w:ascii="Aptos Narrow" w:hAnsi="Aptos Narrow"/>
          <w:sz w:val="24"/>
          <w:szCs w:val="24"/>
        </w:rPr>
        <w:t>The Pierce’s Disease Control Program (PDCP) regulations are contained in Sections 3650-3663.5</w:t>
      </w:r>
      <w:r w:rsidR="00AE6BDD" w:rsidRPr="006C0055">
        <w:rPr>
          <w:rFonts w:ascii="Aptos Narrow" w:hAnsi="Aptos Narrow"/>
          <w:sz w:val="24"/>
          <w:szCs w:val="24"/>
        </w:rPr>
        <w:t xml:space="preserve"> in Title</w:t>
      </w:r>
      <w:r w:rsidRPr="006C0055">
        <w:rPr>
          <w:rFonts w:ascii="Aptos Narrow" w:hAnsi="Aptos Narrow"/>
          <w:sz w:val="24"/>
          <w:szCs w:val="24"/>
        </w:rPr>
        <w:t xml:space="preserve"> 3</w:t>
      </w:r>
      <w:r w:rsidR="00AE6BDD" w:rsidRPr="006C0055">
        <w:rPr>
          <w:rFonts w:ascii="Aptos Narrow" w:hAnsi="Aptos Narrow"/>
          <w:sz w:val="24"/>
          <w:szCs w:val="24"/>
        </w:rPr>
        <w:t xml:space="preserve"> of the</w:t>
      </w:r>
      <w:r w:rsidRPr="006C0055">
        <w:rPr>
          <w:rFonts w:ascii="Aptos Narrow" w:hAnsi="Aptos Narrow"/>
          <w:sz w:val="24"/>
          <w:szCs w:val="24"/>
        </w:rPr>
        <w:t xml:space="preserve"> California Code of Regulations (CCR).  These regulations were established to prevent the artificial spread of </w:t>
      </w:r>
      <w:proofErr w:type="gramStart"/>
      <w:r w:rsidRPr="006C0055">
        <w:rPr>
          <w:rFonts w:ascii="Aptos Narrow" w:hAnsi="Aptos Narrow"/>
          <w:sz w:val="24"/>
          <w:szCs w:val="24"/>
        </w:rPr>
        <w:t>glassy</w:t>
      </w:r>
      <w:proofErr w:type="gramEnd"/>
      <w:r w:rsidRPr="006C0055">
        <w:rPr>
          <w:rFonts w:ascii="Aptos Narrow" w:hAnsi="Aptos Narrow"/>
          <w:sz w:val="24"/>
          <w:szCs w:val="24"/>
        </w:rPr>
        <w:t>-winged sharpshooter (GWSS).</w:t>
      </w:r>
    </w:p>
    <w:p w14:paraId="7F1C3AB0" w14:textId="77777777" w:rsidR="00AE6BDD" w:rsidRPr="006C0055" w:rsidRDefault="00AE6BDD" w:rsidP="009E42A8">
      <w:pPr>
        <w:spacing w:after="0" w:line="240" w:lineRule="auto"/>
        <w:jc w:val="both"/>
        <w:rPr>
          <w:rFonts w:ascii="Aptos Narrow" w:hAnsi="Aptos Narrow"/>
          <w:sz w:val="24"/>
          <w:szCs w:val="24"/>
        </w:rPr>
      </w:pPr>
    </w:p>
    <w:p w14:paraId="514E8BE6" w14:textId="119F627E" w:rsidR="00E909AF" w:rsidRPr="006C0055" w:rsidRDefault="00E909AF" w:rsidP="009E42A8">
      <w:pPr>
        <w:spacing w:after="0" w:line="240" w:lineRule="auto"/>
        <w:jc w:val="both"/>
        <w:rPr>
          <w:rFonts w:ascii="Aptos Narrow" w:hAnsi="Aptos Narrow"/>
          <w:sz w:val="24"/>
          <w:szCs w:val="24"/>
        </w:rPr>
      </w:pPr>
      <w:r w:rsidRPr="006C0055">
        <w:rPr>
          <w:rFonts w:ascii="Aptos Narrow" w:hAnsi="Aptos Narrow"/>
          <w:sz w:val="24"/>
          <w:szCs w:val="24"/>
        </w:rPr>
        <w:t xml:space="preserve">The statutory authority for these regulations is </w:t>
      </w:r>
      <w:r w:rsidR="005250D5" w:rsidRPr="006C0055">
        <w:rPr>
          <w:rFonts w:ascii="Aptos Narrow" w:hAnsi="Aptos Narrow"/>
          <w:sz w:val="24"/>
          <w:szCs w:val="24"/>
        </w:rPr>
        <w:t xml:space="preserve">covered in </w:t>
      </w:r>
      <w:r w:rsidRPr="006C0055">
        <w:rPr>
          <w:rFonts w:ascii="Aptos Narrow" w:hAnsi="Aptos Narrow"/>
          <w:sz w:val="24"/>
          <w:szCs w:val="24"/>
        </w:rPr>
        <w:t>Sections 6045, 6046, and 6047</w:t>
      </w:r>
      <w:r w:rsidR="00AE6BDD" w:rsidRPr="006C0055">
        <w:rPr>
          <w:rFonts w:ascii="Aptos Narrow" w:hAnsi="Aptos Narrow"/>
          <w:sz w:val="24"/>
          <w:szCs w:val="24"/>
        </w:rPr>
        <w:t xml:space="preserve"> of the</w:t>
      </w:r>
      <w:r w:rsidRPr="006C0055">
        <w:rPr>
          <w:rFonts w:ascii="Aptos Narrow" w:hAnsi="Aptos Narrow"/>
          <w:sz w:val="24"/>
          <w:szCs w:val="24"/>
        </w:rPr>
        <w:t xml:space="preserve"> Food and Agricultural Code (FAC).  To enforce these provisions, the Secretary or Agricultural Commissioner is empowered to conduct inspections and investigate any suspected violations; each Commissioner is an enforcing officer for all laws and regulations to prevent the spread of plant pests and to certify shipments of plant material as to its pest freedom.</w:t>
      </w:r>
    </w:p>
    <w:p w14:paraId="3771054C" w14:textId="77777777" w:rsidR="00AE6BDD" w:rsidRPr="006C0055" w:rsidRDefault="00AE6BDD" w:rsidP="009E42A8">
      <w:pPr>
        <w:spacing w:after="0" w:line="240" w:lineRule="auto"/>
        <w:jc w:val="both"/>
        <w:rPr>
          <w:rFonts w:ascii="Aptos Narrow" w:hAnsi="Aptos Narrow"/>
          <w:sz w:val="24"/>
          <w:szCs w:val="24"/>
        </w:rPr>
      </w:pPr>
    </w:p>
    <w:p w14:paraId="1B8C2005" w14:textId="7E69EC34" w:rsidR="00F057F9" w:rsidRPr="006C0055" w:rsidRDefault="00E909AF" w:rsidP="009E42A8">
      <w:pPr>
        <w:spacing w:after="0" w:line="240" w:lineRule="auto"/>
        <w:jc w:val="both"/>
        <w:rPr>
          <w:rFonts w:ascii="Aptos Narrow" w:hAnsi="Aptos Narrow"/>
          <w:sz w:val="24"/>
          <w:szCs w:val="24"/>
        </w:rPr>
      </w:pPr>
      <w:r w:rsidRPr="006C0055">
        <w:rPr>
          <w:rFonts w:ascii="Aptos Narrow" w:hAnsi="Aptos Narrow"/>
          <w:sz w:val="24"/>
          <w:szCs w:val="24"/>
        </w:rPr>
        <w:t xml:space="preserve">The FAC provides several options for enforcement of the requirements of the PDCP regulations.  This flexibility allows enforcement actions chosen </w:t>
      </w:r>
      <w:proofErr w:type="gramStart"/>
      <w:r w:rsidRPr="006C0055">
        <w:rPr>
          <w:rFonts w:ascii="Aptos Narrow" w:hAnsi="Aptos Narrow"/>
          <w:sz w:val="24"/>
          <w:szCs w:val="24"/>
        </w:rPr>
        <w:t>as a result of</w:t>
      </w:r>
      <w:proofErr w:type="gramEnd"/>
      <w:r w:rsidRPr="006C0055">
        <w:rPr>
          <w:rFonts w:ascii="Aptos Narrow" w:hAnsi="Aptos Narrow"/>
          <w:sz w:val="24"/>
          <w:szCs w:val="24"/>
        </w:rPr>
        <w:t xml:space="preserve"> a violation(s) to be proportionate to the nature/severity of the violation with progressive enforcement for repeat violators.</w:t>
      </w:r>
    </w:p>
    <w:p w14:paraId="3C5486E3" w14:textId="77777777" w:rsidR="00AE6BDD" w:rsidRPr="006C0055" w:rsidRDefault="00AE6BDD" w:rsidP="009E42A8">
      <w:pPr>
        <w:spacing w:after="0" w:line="240" w:lineRule="auto"/>
        <w:jc w:val="both"/>
        <w:rPr>
          <w:rFonts w:ascii="Aptos Narrow" w:hAnsi="Aptos Narrow"/>
          <w:sz w:val="24"/>
          <w:szCs w:val="24"/>
        </w:rPr>
      </w:pPr>
    </w:p>
    <w:p w14:paraId="356A32FD" w14:textId="414DD926"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Any violation of applicable provisions of FAC Division 4, Plant Quarantine and Pest Control, is an infraction punishable by a fine of not more than $1,000 for the first offense and a misdemeanor for a second or subsequent offense within three years </w:t>
      </w:r>
      <w:r w:rsidR="00AE6BDD" w:rsidRPr="006C0055">
        <w:rPr>
          <w:rFonts w:ascii="Aptos Narrow" w:hAnsi="Aptos Narrow"/>
          <w:sz w:val="24"/>
          <w:szCs w:val="24"/>
        </w:rPr>
        <w:t xml:space="preserve">(FAC </w:t>
      </w:r>
      <w:r w:rsidRPr="006C0055">
        <w:rPr>
          <w:rFonts w:ascii="Aptos Narrow" w:hAnsi="Aptos Narrow"/>
          <w:sz w:val="24"/>
          <w:szCs w:val="24"/>
        </w:rPr>
        <w:t>Section 5309</w:t>
      </w:r>
      <w:r w:rsidR="00AE6BDD" w:rsidRPr="006C0055">
        <w:rPr>
          <w:rFonts w:ascii="Aptos Narrow" w:hAnsi="Aptos Narrow"/>
          <w:sz w:val="24"/>
          <w:szCs w:val="24"/>
        </w:rPr>
        <w:t>)</w:t>
      </w:r>
      <w:r w:rsidRPr="006C0055">
        <w:rPr>
          <w:rFonts w:ascii="Aptos Narrow" w:hAnsi="Aptos Narrow"/>
          <w:sz w:val="24"/>
          <w:szCs w:val="24"/>
        </w:rPr>
        <w:t>.</w:t>
      </w:r>
    </w:p>
    <w:p w14:paraId="2C22418D" w14:textId="3E2A64EF"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Except where otherwise expressly provided, a violation of any provision of this division is a misdemeanor </w:t>
      </w:r>
      <w:r w:rsidR="00AE6BDD" w:rsidRPr="006C0055">
        <w:rPr>
          <w:rFonts w:ascii="Aptos Narrow" w:hAnsi="Aptos Narrow"/>
          <w:sz w:val="24"/>
          <w:szCs w:val="24"/>
        </w:rPr>
        <w:t xml:space="preserve">(FAC </w:t>
      </w:r>
      <w:r w:rsidRPr="006C0055">
        <w:rPr>
          <w:rFonts w:ascii="Aptos Narrow" w:hAnsi="Aptos Narrow"/>
          <w:sz w:val="24"/>
          <w:szCs w:val="24"/>
        </w:rPr>
        <w:t>Section 5027</w:t>
      </w:r>
      <w:r w:rsidR="00AE6BDD" w:rsidRPr="006C0055">
        <w:rPr>
          <w:rFonts w:ascii="Aptos Narrow" w:hAnsi="Aptos Narrow"/>
          <w:sz w:val="24"/>
          <w:szCs w:val="24"/>
        </w:rPr>
        <w:t>)</w:t>
      </w:r>
      <w:r w:rsidRPr="006C0055">
        <w:rPr>
          <w:rFonts w:ascii="Aptos Narrow" w:hAnsi="Aptos Narrow"/>
          <w:sz w:val="24"/>
          <w:szCs w:val="24"/>
        </w:rPr>
        <w:t xml:space="preserve">. In addition to other remedies provided, any person violating the PDCP regulation requirements can be civilly liable up to $10,000 for each violation; in lieu of any civil action, the Secretary or Commissioner may levy a civil penalty for up to $2,500 for each violation </w:t>
      </w:r>
      <w:r w:rsidR="005250D5" w:rsidRPr="006C0055">
        <w:rPr>
          <w:rFonts w:ascii="Aptos Narrow" w:hAnsi="Aptos Narrow"/>
          <w:sz w:val="24"/>
          <w:szCs w:val="24"/>
        </w:rPr>
        <w:t xml:space="preserve">(FAC </w:t>
      </w:r>
      <w:r w:rsidRPr="006C0055">
        <w:rPr>
          <w:rFonts w:ascii="Aptos Narrow" w:hAnsi="Aptos Narrow"/>
          <w:sz w:val="24"/>
          <w:szCs w:val="24"/>
        </w:rPr>
        <w:t>Sections 5310 and 5311</w:t>
      </w:r>
      <w:r w:rsidR="005250D5" w:rsidRPr="006C0055">
        <w:rPr>
          <w:rFonts w:ascii="Aptos Narrow" w:hAnsi="Aptos Narrow"/>
          <w:sz w:val="24"/>
          <w:szCs w:val="24"/>
        </w:rPr>
        <w:t>)</w:t>
      </w:r>
      <w:r w:rsidRPr="006C0055">
        <w:rPr>
          <w:rFonts w:ascii="Aptos Narrow" w:hAnsi="Aptos Narrow"/>
          <w:sz w:val="24"/>
          <w:szCs w:val="24"/>
        </w:rPr>
        <w:t>.</w:t>
      </w:r>
    </w:p>
    <w:p w14:paraId="2FD1B452" w14:textId="321C92DA"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Anyone who negligently or intentionally violates a regulation and imports a GWSS-infested plant that results in an infestation, or the spread of an infestation may be civilly liable in an amount up to $25,000 for each violation </w:t>
      </w:r>
      <w:r w:rsidR="005250D5" w:rsidRPr="006C0055">
        <w:rPr>
          <w:rFonts w:ascii="Aptos Narrow" w:hAnsi="Aptos Narrow"/>
          <w:sz w:val="24"/>
          <w:szCs w:val="24"/>
        </w:rPr>
        <w:t xml:space="preserve">(FAC </w:t>
      </w:r>
      <w:r w:rsidRPr="006C0055">
        <w:rPr>
          <w:rFonts w:ascii="Aptos Narrow" w:hAnsi="Aptos Narrow"/>
          <w:sz w:val="24"/>
          <w:szCs w:val="24"/>
        </w:rPr>
        <w:t>Section 5028(c)</w:t>
      </w:r>
      <w:r w:rsidR="005250D5" w:rsidRPr="006C0055">
        <w:rPr>
          <w:rFonts w:ascii="Aptos Narrow" w:hAnsi="Aptos Narrow"/>
          <w:sz w:val="24"/>
          <w:szCs w:val="24"/>
        </w:rPr>
        <w:t>)</w:t>
      </w:r>
      <w:r w:rsidRPr="006C0055">
        <w:rPr>
          <w:rFonts w:ascii="Aptos Narrow" w:hAnsi="Aptos Narrow"/>
          <w:sz w:val="24"/>
          <w:szCs w:val="24"/>
        </w:rPr>
        <w:t>.</w:t>
      </w:r>
    </w:p>
    <w:p w14:paraId="2FF756B9" w14:textId="40D4160C"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It is unlawful to sell any nursery stock without a valid nursery license </w:t>
      </w:r>
      <w:r w:rsidR="005250D5" w:rsidRPr="006C0055">
        <w:rPr>
          <w:rFonts w:ascii="Aptos Narrow" w:hAnsi="Aptos Narrow"/>
          <w:sz w:val="24"/>
          <w:szCs w:val="24"/>
        </w:rPr>
        <w:t xml:space="preserve">(FAC </w:t>
      </w:r>
      <w:r w:rsidRPr="006C0055">
        <w:rPr>
          <w:rFonts w:ascii="Aptos Narrow" w:hAnsi="Aptos Narrow"/>
          <w:sz w:val="24"/>
          <w:szCs w:val="24"/>
        </w:rPr>
        <w:t>Section 6721</w:t>
      </w:r>
      <w:r w:rsidR="005250D5" w:rsidRPr="006C0055">
        <w:rPr>
          <w:rFonts w:ascii="Aptos Narrow" w:hAnsi="Aptos Narrow"/>
          <w:sz w:val="24"/>
          <w:szCs w:val="24"/>
        </w:rPr>
        <w:t>)</w:t>
      </w:r>
      <w:r w:rsidRPr="006C0055">
        <w:rPr>
          <w:rFonts w:ascii="Aptos Narrow" w:hAnsi="Aptos Narrow"/>
          <w:sz w:val="24"/>
          <w:szCs w:val="24"/>
        </w:rPr>
        <w:t xml:space="preserve">. The Secretary can revoke or suspend a nursery license if a nursery has willfully refused to comply </w:t>
      </w:r>
      <w:r w:rsidRPr="006C0055">
        <w:rPr>
          <w:rFonts w:ascii="Aptos Narrow" w:hAnsi="Aptos Narrow"/>
          <w:sz w:val="24"/>
          <w:szCs w:val="24"/>
        </w:rPr>
        <w:lastRenderedPageBreak/>
        <w:t xml:space="preserve">with all laws and regulations </w:t>
      </w:r>
      <w:proofErr w:type="gramStart"/>
      <w:r w:rsidRPr="006C0055">
        <w:rPr>
          <w:rFonts w:ascii="Aptos Narrow" w:hAnsi="Aptos Narrow"/>
          <w:sz w:val="24"/>
          <w:szCs w:val="24"/>
        </w:rPr>
        <w:t>relative</w:t>
      </w:r>
      <w:proofErr w:type="gramEnd"/>
      <w:r w:rsidRPr="006C0055">
        <w:rPr>
          <w:rFonts w:ascii="Aptos Narrow" w:hAnsi="Aptos Narrow"/>
          <w:sz w:val="24"/>
          <w:szCs w:val="24"/>
        </w:rPr>
        <w:t xml:space="preserve"> to any pest that might be carried by nursery stock </w:t>
      </w:r>
      <w:r w:rsidR="005250D5" w:rsidRPr="006C0055">
        <w:rPr>
          <w:rFonts w:ascii="Aptos Narrow" w:hAnsi="Aptos Narrow"/>
          <w:sz w:val="24"/>
          <w:szCs w:val="24"/>
        </w:rPr>
        <w:t xml:space="preserve">(FAC </w:t>
      </w:r>
      <w:r w:rsidRPr="006C0055">
        <w:rPr>
          <w:rFonts w:ascii="Aptos Narrow" w:hAnsi="Aptos Narrow"/>
          <w:sz w:val="24"/>
          <w:szCs w:val="24"/>
        </w:rPr>
        <w:t>Section 6761</w:t>
      </w:r>
      <w:r w:rsidR="005250D5" w:rsidRPr="006C0055">
        <w:rPr>
          <w:rFonts w:ascii="Aptos Narrow" w:hAnsi="Aptos Narrow"/>
          <w:sz w:val="24"/>
          <w:szCs w:val="24"/>
        </w:rPr>
        <w:t>)</w:t>
      </w:r>
      <w:r w:rsidRPr="006C0055">
        <w:rPr>
          <w:rFonts w:ascii="Aptos Narrow" w:hAnsi="Aptos Narrow"/>
          <w:sz w:val="24"/>
          <w:szCs w:val="24"/>
        </w:rPr>
        <w:t>.</w:t>
      </w:r>
    </w:p>
    <w:p w14:paraId="7F7B908A" w14:textId="7EB1C388"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It is unlawful for anyone to ship, sell, deliver or transport nursery stock in California without either a Hold for Inspection (“blue tag”) or a valid nursery stock certificate </w:t>
      </w:r>
      <w:r w:rsidR="005250D5" w:rsidRPr="006C0055">
        <w:rPr>
          <w:rFonts w:ascii="Aptos Narrow" w:hAnsi="Aptos Narrow"/>
          <w:sz w:val="24"/>
          <w:szCs w:val="24"/>
        </w:rPr>
        <w:t xml:space="preserve">(FAC </w:t>
      </w:r>
      <w:r w:rsidRPr="006C0055">
        <w:rPr>
          <w:rFonts w:ascii="Aptos Narrow" w:hAnsi="Aptos Narrow"/>
          <w:sz w:val="24"/>
          <w:szCs w:val="24"/>
        </w:rPr>
        <w:t>Sections 6922 and 6923</w:t>
      </w:r>
      <w:r w:rsidR="005250D5" w:rsidRPr="006C0055">
        <w:rPr>
          <w:rFonts w:ascii="Aptos Narrow" w:hAnsi="Aptos Narrow"/>
          <w:sz w:val="24"/>
          <w:szCs w:val="24"/>
        </w:rPr>
        <w:t>)</w:t>
      </w:r>
      <w:r w:rsidRPr="006C0055">
        <w:rPr>
          <w:rFonts w:ascii="Aptos Narrow" w:hAnsi="Aptos Narrow"/>
          <w:sz w:val="24"/>
          <w:szCs w:val="24"/>
        </w:rPr>
        <w:t xml:space="preserve">.  The Commissioner may revoke or suspend the right to use any nursery stock certificate or other shipping permit because of non-compliance </w:t>
      </w:r>
      <w:r w:rsidR="005250D5" w:rsidRPr="006C0055">
        <w:rPr>
          <w:rFonts w:ascii="Aptos Narrow" w:hAnsi="Aptos Narrow"/>
          <w:sz w:val="24"/>
          <w:szCs w:val="24"/>
        </w:rPr>
        <w:t xml:space="preserve">(FAC </w:t>
      </w:r>
      <w:r w:rsidRPr="006C0055">
        <w:rPr>
          <w:rFonts w:ascii="Aptos Narrow" w:hAnsi="Aptos Narrow"/>
          <w:sz w:val="24"/>
          <w:szCs w:val="24"/>
        </w:rPr>
        <w:t>Section 6968</w:t>
      </w:r>
      <w:r w:rsidR="005250D5" w:rsidRPr="006C0055">
        <w:rPr>
          <w:rFonts w:ascii="Aptos Narrow" w:hAnsi="Aptos Narrow"/>
          <w:sz w:val="24"/>
          <w:szCs w:val="24"/>
        </w:rPr>
        <w:t>)</w:t>
      </w:r>
      <w:r w:rsidRPr="006C0055">
        <w:rPr>
          <w:rFonts w:ascii="Aptos Narrow" w:hAnsi="Aptos Narrow"/>
          <w:sz w:val="24"/>
          <w:szCs w:val="24"/>
        </w:rPr>
        <w:t xml:space="preserve">.  It is unlawful to alter or otherwise misuse any shipping permit or nursery stock certificate </w:t>
      </w:r>
      <w:r w:rsidR="005250D5" w:rsidRPr="006C0055">
        <w:rPr>
          <w:rFonts w:ascii="Aptos Narrow" w:hAnsi="Aptos Narrow"/>
          <w:sz w:val="24"/>
          <w:szCs w:val="24"/>
        </w:rPr>
        <w:t xml:space="preserve">(FAC </w:t>
      </w:r>
      <w:r w:rsidRPr="006C0055">
        <w:rPr>
          <w:rFonts w:ascii="Aptos Narrow" w:hAnsi="Aptos Narrow"/>
          <w:sz w:val="24"/>
          <w:szCs w:val="24"/>
        </w:rPr>
        <w:t>Section 6927</w:t>
      </w:r>
      <w:r w:rsidR="005250D5" w:rsidRPr="006C0055">
        <w:rPr>
          <w:rFonts w:ascii="Aptos Narrow" w:hAnsi="Aptos Narrow"/>
          <w:sz w:val="24"/>
          <w:szCs w:val="24"/>
        </w:rPr>
        <w:t>)</w:t>
      </w:r>
      <w:r w:rsidRPr="006C0055">
        <w:rPr>
          <w:rFonts w:ascii="Aptos Narrow" w:hAnsi="Aptos Narrow"/>
          <w:sz w:val="24"/>
          <w:szCs w:val="24"/>
        </w:rPr>
        <w:t xml:space="preserve">. </w:t>
      </w:r>
    </w:p>
    <w:p w14:paraId="02B98506" w14:textId="04A7395D" w:rsidR="005250D5" w:rsidRPr="006C0055" w:rsidRDefault="00E909AF" w:rsidP="0023784A">
      <w:pPr>
        <w:pStyle w:val="ListParagraph"/>
        <w:spacing w:after="120" w:line="240" w:lineRule="auto"/>
        <w:contextualSpacing w:val="0"/>
        <w:jc w:val="both"/>
        <w:rPr>
          <w:rFonts w:ascii="Aptos Narrow" w:hAnsi="Aptos Narrow"/>
          <w:sz w:val="24"/>
          <w:szCs w:val="24"/>
        </w:rPr>
      </w:pPr>
      <w:proofErr w:type="gramStart"/>
      <w:r w:rsidRPr="006C0055">
        <w:rPr>
          <w:rFonts w:ascii="Aptos Narrow" w:hAnsi="Aptos Narrow"/>
          <w:sz w:val="24"/>
          <w:szCs w:val="24"/>
        </w:rPr>
        <w:t>Any one</w:t>
      </w:r>
      <w:proofErr w:type="gramEnd"/>
      <w:r w:rsidRPr="006C0055">
        <w:rPr>
          <w:rFonts w:ascii="Aptos Narrow" w:hAnsi="Aptos Narrow"/>
          <w:sz w:val="24"/>
          <w:szCs w:val="24"/>
        </w:rPr>
        <w:t xml:space="preserve"> receiving or moving any nursery stock must notify the Commissioner immediately upon arrival and hold the nursery stock for inspection unless it is accompanied by a valid nursery stock certificate.  Some counties have elected to waive that exemption and require GWSS host plant material entering the county (or non-infested area of a county) to be accompanied by a Warning Hold </w:t>
      </w:r>
      <w:r w:rsidR="00AE6BDD" w:rsidRPr="006C0055">
        <w:rPr>
          <w:rFonts w:ascii="Aptos Narrow" w:hAnsi="Aptos Narrow"/>
          <w:sz w:val="24"/>
          <w:szCs w:val="24"/>
        </w:rPr>
        <w:t>for</w:t>
      </w:r>
      <w:r w:rsidRPr="006C0055">
        <w:rPr>
          <w:rFonts w:ascii="Aptos Narrow" w:hAnsi="Aptos Narrow"/>
          <w:sz w:val="24"/>
          <w:szCs w:val="24"/>
        </w:rPr>
        <w:t xml:space="preserve"> Inspection certificate </w:t>
      </w:r>
      <w:r w:rsidR="005250D5" w:rsidRPr="006C0055">
        <w:rPr>
          <w:rFonts w:ascii="Aptos Narrow" w:hAnsi="Aptos Narrow"/>
          <w:sz w:val="24"/>
          <w:szCs w:val="24"/>
        </w:rPr>
        <w:t xml:space="preserve">(FAC </w:t>
      </w:r>
      <w:r w:rsidRPr="006C0055">
        <w:rPr>
          <w:rFonts w:ascii="Aptos Narrow" w:hAnsi="Aptos Narrow"/>
          <w:sz w:val="24"/>
          <w:szCs w:val="24"/>
        </w:rPr>
        <w:t>Section 6505</w:t>
      </w:r>
      <w:r w:rsidR="005250D5" w:rsidRPr="006C0055">
        <w:rPr>
          <w:rFonts w:ascii="Aptos Narrow" w:hAnsi="Aptos Narrow"/>
          <w:sz w:val="24"/>
          <w:szCs w:val="24"/>
        </w:rPr>
        <w:t>)</w:t>
      </w:r>
      <w:r w:rsidRPr="006C0055">
        <w:rPr>
          <w:rFonts w:ascii="Aptos Narrow" w:hAnsi="Aptos Narrow"/>
          <w:sz w:val="24"/>
          <w:szCs w:val="24"/>
        </w:rPr>
        <w:t xml:space="preserve">. In this case, it is unlawful even to move nursery stock within a county without forwarding a manifest specified by </w:t>
      </w:r>
      <w:r w:rsidR="005250D5" w:rsidRPr="006C0055">
        <w:rPr>
          <w:rFonts w:ascii="Aptos Narrow" w:hAnsi="Aptos Narrow"/>
          <w:sz w:val="24"/>
          <w:szCs w:val="24"/>
        </w:rPr>
        <w:t xml:space="preserve">(FAC </w:t>
      </w:r>
      <w:r w:rsidRPr="006C0055">
        <w:rPr>
          <w:rFonts w:ascii="Aptos Narrow" w:hAnsi="Aptos Narrow"/>
          <w:sz w:val="24"/>
          <w:szCs w:val="24"/>
        </w:rPr>
        <w:t>Section 6925 and 6926</w:t>
      </w:r>
      <w:r w:rsidR="005250D5" w:rsidRPr="006C0055">
        <w:rPr>
          <w:rFonts w:ascii="Aptos Narrow" w:hAnsi="Aptos Narrow"/>
          <w:sz w:val="24"/>
          <w:szCs w:val="24"/>
        </w:rPr>
        <w:t>)</w:t>
      </w:r>
      <w:r w:rsidRPr="006C0055">
        <w:rPr>
          <w:rFonts w:ascii="Aptos Narrow" w:hAnsi="Aptos Narrow"/>
          <w:sz w:val="24"/>
          <w:szCs w:val="24"/>
        </w:rPr>
        <w:t>.</w:t>
      </w:r>
    </w:p>
    <w:p w14:paraId="5C81CE62" w14:textId="07D0D906"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To facilitate the investigation of violations, proof of ownership is required of any person buying, selling, or transporting a shipment of plant material intended for commercial sale and it is unlawful for any person to alter any proof of ownership document </w:t>
      </w:r>
      <w:r w:rsidR="005250D5" w:rsidRPr="006C0055">
        <w:rPr>
          <w:rFonts w:ascii="Aptos Narrow" w:hAnsi="Aptos Narrow"/>
          <w:sz w:val="24"/>
          <w:szCs w:val="24"/>
        </w:rPr>
        <w:t xml:space="preserve">(FAC </w:t>
      </w:r>
      <w:r w:rsidRPr="006C0055">
        <w:rPr>
          <w:rFonts w:ascii="Aptos Narrow" w:hAnsi="Aptos Narrow"/>
          <w:sz w:val="24"/>
          <w:szCs w:val="24"/>
        </w:rPr>
        <w:t>Sections 5030 and 5031</w:t>
      </w:r>
      <w:r w:rsidR="005250D5" w:rsidRPr="006C0055">
        <w:rPr>
          <w:rFonts w:ascii="Aptos Narrow" w:hAnsi="Aptos Narrow"/>
          <w:sz w:val="24"/>
          <w:szCs w:val="24"/>
        </w:rPr>
        <w:t>)</w:t>
      </w:r>
      <w:r w:rsidRPr="006C0055">
        <w:rPr>
          <w:rFonts w:ascii="Aptos Narrow" w:hAnsi="Aptos Narrow"/>
          <w:sz w:val="24"/>
          <w:szCs w:val="24"/>
        </w:rPr>
        <w:t>.</w:t>
      </w:r>
    </w:p>
    <w:p w14:paraId="34443A6A" w14:textId="1E52CEEE"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Under the PDCP regulations, all host plants of GWSS moving from an infested area to a non-infested area must be certified free of GWSS </w:t>
      </w:r>
      <w:r w:rsidR="005250D5" w:rsidRPr="006C0055">
        <w:rPr>
          <w:rFonts w:ascii="Aptos Narrow" w:hAnsi="Aptos Narrow"/>
          <w:sz w:val="24"/>
          <w:szCs w:val="24"/>
        </w:rPr>
        <w:t xml:space="preserve">(FAC </w:t>
      </w:r>
      <w:r w:rsidRPr="006C0055">
        <w:rPr>
          <w:rFonts w:ascii="Aptos Narrow" w:hAnsi="Aptos Narrow"/>
          <w:sz w:val="24"/>
          <w:szCs w:val="24"/>
        </w:rPr>
        <w:t xml:space="preserve">Section 5721; </w:t>
      </w:r>
      <w:r w:rsidR="005250D5" w:rsidRPr="006C0055">
        <w:rPr>
          <w:rFonts w:ascii="Aptos Narrow" w:hAnsi="Aptos Narrow"/>
          <w:sz w:val="24"/>
          <w:szCs w:val="24"/>
        </w:rPr>
        <w:t xml:space="preserve">3 CCR </w:t>
      </w:r>
      <w:r w:rsidRPr="006C0055">
        <w:rPr>
          <w:rFonts w:ascii="Aptos Narrow" w:hAnsi="Aptos Narrow"/>
          <w:sz w:val="24"/>
          <w:szCs w:val="24"/>
        </w:rPr>
        <w:t>Sections 3060.2, 3060.4 and 3660</w:t>
      </w:r>
      <w:r w:rsidR="005250D5" w:rsidRPr="006C0055">
        <w:rPr>
          <w:rFonts w:ascii="Aptos Narrow" w:hAnsi="Aptos Narrow"/>
          <w:sz w:val="24"/>
          <w:szCs w:val="24"/>
        </w:rPr>
        <w:t>)</w:t>
      </w:r>
      <w:r w:rsidRPr="006C0055">
        <w:rPr>
          <w:rFonts w:ascii="Aptos Narrow" w:hAnsi="Aptos Narrow"/>
          <w:sz w:val="24"/>
          <w:szCs w:val="24"/>
        </w:rPr>
        <w:t xml:space="preserve">.  Certification can be based on surveys confirming non-infested status, inspection, or by approved treatment.  It is unlawful to alter or otherwise wrongfully use a certificate </w:t>
      </w:r>
      <w:r w:rsidR="005250D5" w:rsidRPr="006C0055">
        <w:rPr>
          <w:rFonts w:ascii="Aptos Narrow" w:hAnsi="Aptos Narrow"/>
          <w:sz w:val="24"/>
          <w:szCs w:val="24"/>
        </w:rPr>
        <w:t xml:space="preserve">(FAC </w:t>
      </w:r>
      <w:r w:rsidRPr="006C0055">
        <w:rPr>
          <w:rFonts w:ascii="Aptos Narrow" w:hAnsi="Aptos Narrow"/>
          <w:sz w:val="24"/>
          <w:szCs w:val="24"/>
        </w:rPr>
        <w:t>Section 5208</w:t>
      </w:r>
      <w:r w:rsidR="005250D5" w:rsidRPr="006C0055">
        <w:rPr>
          <w:rFonts w:ascii="Aptos Narrow" w:hAnsi="Aptos Narrow"/>
          <w:sz w:val="24"/>
          <w:szCs w:val="24"/>
        </w:rPr>
        <w:t>)</w:t>
      </w:r>
      <w:r w:rsidRPr="006C0055">
        <w:rPr>
          <w:rFonts w:ascii="Aptos Narrow" w:hAnsi="Aptos Narrow"/>
          <w:sz w:val="24"/>
          <w:szCs w:val="24"/>
        </w:rPr>
        <w:t>.</w:t>
      </w:r>
    </w:p>
    <w:p w14:paraId="35F8A9CA" w14:textId="79E6518F"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The Secretary or Commissioner may enter into compliance agreements to facilitate the movement of host plant material.  The compliance agreement provides the survey, treatment, and handling requirements necessary to assure freedom from GWSS.  Violation of the provisions of a compliance agreement is unlawful and any person that violates the provisions of a compliance agreement can also be held liable civilly for up to $10,000.  Remedies provided here do not supersede or limit </w:t>
      </w:r>
      <w:proofErr w:type="gramStart"/>
      <w:r w:rsidRPr="006C0055">
        <w:rPr>
          <w:rFonts w:ascii="Aptos Narrow" w:hAnsi="Aptos Narrow"/>
          <w:sz w:val="24"/>
          <w:szCs w:val="24"/>
        </w:rPr>
        <w:t>any and all</w:t>
      </w:r>
      <w:proofErr w:type="gramEnd"/>
      <w:r w:rsidRPr="006C0055">
        <w:rPr>
          <w:rFonts w:ascii="Aptos Narrow" w:hAnsi="Aptos Narrow"/>
          <w:sz w:val="24"/>
          <w:szCs w:val="24"/>
        </w:rPr>
        <w:t xml:space="preserve"> other remedies available to the State </w:t>
      </w:r>
      <w:r w:rsidR="005250D5" w:rsidRPr="006C0055">
        <w:rPr>
          <w:rFonts w:ascii="Aptos Narrow" w:hAnsi="Aptos Narrow"/>
          <w:sz w:val="24"/>
          <w:szCs w:val="24"/>
        </w:rPr>
        <w:t xml:space="preserve">(FAC </w:t>
      </w:r>
      <w:r w:rsidRPr="006C0055">
        <w:rPr>
          <w:rFonts w:ascii="Aptos Narrow" w:hAnsi="Aptos Narrow"/>
          <w:sz w:val="24"/>
          <w:szCs w:val="24"/>
        </w:rPr>
        <w:t>Section 5705</w:t>
      </w:r>
      <w:r w:rsidR="005250D5" w:rsidRPr="006C0055">
        <w:rPr>
          <w:rFonts w:ascii="Aptos Narrow" w:hAnsi="Aptos Narrow"/>
          <w:sz w:val="24"/>
          <w:szCs w:val="24"/>
        </w:rPr>
        <w:t>)</w:t>
      </w:r>
      <w:r w:rsidRPr="006C0055">
        <w:rPr>
          <w:rFonts w:ascii="Aptos Narrow" w:hAnsi="Aptos Narrow"/>
          <w:sz w:val="24"/>
          <w:szCs w:val="24"/>
        </w:rPr>
        <w:t>.</w:t>
      </w:r>
    </w:p>
    <w:p w14:paraId="7FAD8D4F" w14:textId="5321AF25" w:rsidR="007A4D9A"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If any shipment of any nursery stock, plant, or container of any nursery stock or plant, or appliance, or any host or other carrier of any pest which is brought into any county or locality in the state from another county or locality within the state, is found to be infested with a pest (i.e., GWSS), or there is reasonable cause to believe that the shipment may be infested, the entire shipment shall be refused delivery and may be immediately destroyed by, or under the supervision of the Commissioner, unless the nature of the pest is such that no damage or detriment can be caused to agriculture by the return of the shipment to the point of shipment </w:t>
      </w:r>
      <w:r w:rsidR="005250D5" w:rsidRPr="006C0055">
        <w:rPr>
          <w:rFonts w:ascii="Aptos Narrow" w:hAnsi="Aptos Narrow"/>
          <w:sz w:val="24"/>
          <w:szCs w:val="24"/>
        </w:rPr>
        <w:t xml:space="preserve">(FAC </w:t>
      </w:r>
      <w:r w:rsidRPr="006C0055">
        <w:rPr>
          <w:rFonts w:ascii="Aptos Narrow" w:hAnsi="Aptos Narrow"/>
          <w:sz w:val="24"/>
          <w:szCs w:val="24"/>
        </w:rPr>
        <w:t>Section 6521</w:t>
      </w:r>
      <w:r w:rsidR="005250D5" w:rsidRPr="006C0055">
        <w:rPr>
          <w:rFonts w:ascii="Aptos Narrow" w:hAnsi="Aptos Narrow"/>
          <w:sz w:val="24"/>
          <w:szCs w:val="24"/>
        </w:rPr>
        <w:t>)</w:t>
      </w:r>
      <w:r w:rsidRPr="006C0055">
        <w:rPr>
          <w:rFonts w:ascii="Aptos Narrow" w:hAnsi="Aptos Narrow"/>
          <w:sz w:val="24"/>
          <w:szCs w:val="24"/>
        </w:rPr>
        <w:t xml:space="preserve">.  The officer who makes the inspection of such a shipment may affix a warning tag or notice to the shipment and shall notify in writing the owner or bailee of the shipment to return the shipment to the point of shipment within the time limit which the </w:t>
      </w:r>
      <w:r w:rsidRPr="006C0055">
        <w:rPr>
          <w:rFonts w:ascii="Aptos Narrow" w:hAnsi="Aptos Narrow"/>
          <w:sz w:val="24"/>
          <w:szCs w:val="24"/>
        </w:rPr>
        <w:lastRenderedPageBreak/>
        <w:t xml:space="preserve">officer specifies </w:t>
      </w:r>
      <w:r w:rsidR="005250D5" w:rsidRPr="006C0055">
        <w:rPr>
          <w:rFonts w:ascii="Aptos Narrow" w:hAnsi="Aptos Narrow"/>
          <w:sz w:val="24"/>
          <w:szCs w:val="24"/>
        </w:rPr>
        <w:t xml:space="preserve">(FAC </w:t>
      </w:r>
      <w:r w:rsidRPr="006C0055">
        <w:rPr>
          <w:rFonts w:ascii="Aptos Narrow" w:hAnsi="Aptos Narrow"/>
          <w:sz w:val="24"/>
          <w:szCs w:val="24"/>
        </w:rPr>
        <w:t>Section 6522</w:t>
      </w:r>
      <w:r w:rsidR="005250D5" w:rsidRPr="006C0055">
        <w:rPr>
          <w:rFonts w:ascii="Aptos Narrow" w:hAnsi="Aptos Narrow"/>
          <w:sz w:val="24"/>
          <w:szCs w:val="24"/>
        </w:rPr>
        <w:t>)</w:t>
      </w:r>
      <w:r w:rsidRPr="006C0055">
        <w:rPr>
          <w:rFonts w:ascii="Aptos Narrow" w:hAnsi="Aptos Narrow"/>
          <w:sz w:val="24"/>
          <w:szCs w:val="24"/>
        </w:rPr>
        <w:t xml:space="preserve">.  Similarly, a warning hold may be placed on a shipment entering the state if it is found to be infested with GWSS, or there is reasonable cause to believe that the shipment may be </w:t>
      </w:r>
      <w:r w:rsidR="005250D5" w:rsidRPr="006C0055">
        <w:rPr>
          <w:rFonts w:ascii="Aptos Narrow" w:hAnsi="Aptos Narrow"/>
          <w:sz w:val="24"/>
          <w:szCs w:val="24"/>
        </w:rPr>
        <w:t>infested</w:t>
      </w:r>
      <w:r w:rsidRPr="006C0055">
        <w:rPr>
          <w:rFonts w:ascii="Aptos Narrow" w:hAnsi="Aptos Narrow"/>
          <w:sz w:val="24"/>
          <w:szCs w:val="24"/>
        </w:rPr>
        <w:t xml:space="preserve"> with GWSS.  It is unlawful, except by written permission, to move or divert any plant shipment placed under a </w:t>
      </w:r>
      <w:proofErr w:type="gramStart"/>
      <w:r w:rsidRPr="006C0055">
        <w:rPr>
          <w:rFonts w:ascii="Aptos Narrow" w:hAnsi="Aptos Narrow"/>
          <w:sz w:val="24"/>
          <w:szCs w:val="24"/>
        </w:rPr>
        <w:t>warning hold</w:t>
      </w:r>
      <w:proofErr w:type="gramEnd"/>
      <w:r w:rsidRPr="006C0055">
        <w:rPr>
          <w:rFonts w:ascii="Aptos Narrow" w:hAnsi="Aptos Narrow"/>
          <w:sz w:val="24"/>
          <w:szCs w:val="24"/>
        </w:rPr>
        <w:t xml:space="preserve"> order without written permission.  It is unlawful to remove, destroy, or otherwise alter any </w:t>
      </w:r>
      <w:proofErr w:type="gramStart"/>
      <w:r w:rsidRPr="006C0055">
        <w:rPr>
          <w:rFonts w:ascii="Aptos Narrow" w:hAnsi="Aptos Narrow"/>
          <w:sz w:val="24"/>
          <w:szCs w:val="24"/>
        </w:rPr>
        <w:t>warning hold</w:t>
      </w:r>
      <w:proofErr w:type="gramEnd"/>
      <w:r w:rsidRPr="006C0055">
        <w:rPr>
          <w:rFonts w:ascii="Aptos Narrow" w:hAnsi="Aptos Narrow"/>
          <w:sz w:val="24"/>
          <w:szCs w:val="24"/>
        </w:rPr>
        <w:t xml:space="preserve"> order </w:t>
      </w:r>
      <w:r w:rsidR="005250D5" w:rsidRPr="006C0055">
        <w:rPr>
          <w:rFonts w:ascii="Aptos Narrow" w:hAnsi="Aptos Narrow"/>
          <w:sz w:val="24"/>
          <w:szCs w:val="24"/>
        </w:rPr>
        <w:t xml:space="preserve">(FAC </w:t>
      </w:r>
      <w:r w:rsidRPr="006C0055">
        <w:rPr>
          <w:rFonts w:ascii="Aptos Narrow" w:hAnsi="Aptos Narrow"/>
          <w:sz w:val="24"/>
          <w:szCs w:val="24"/>
        </w:rPr>
        <w:t>Section 6303</w:t>
      </w:r>
      <w:r w:rsidR="005250D5" w:rsidRPr="006C0055">
        <w:rPr>
          <w:rFonts w:ascii="Aptos Narrow" w:hAnsi="Aptos Narrow"/>
          <w:sz w:val="24"/>
          <w:szCs w:val="24"/>
        </w:rPr>
        <w:t>)</w:t>
      </w:r>
      <w:r w:rsidRPr="006C0055">
        <w:rPr>
          <w:rFonts w:ascii="Aptos Narrow" w:hAnsi="Aptos Narrow"/>
          <w:sz w:val="24"/>
          <w:szCs w:val="24"/>
        </w:rPr>
        <w:t>.</w:t>
      </w:r>
    </w:p>
    <w:p w14:paraId="2136215F" w14:textId="2FBFAE9D" w:rsidR="005250D5" w:rsidRPr="0023784A"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If or when GWSS is found infesting any location, the Secretary or Commissioner may require that any plant, or other GWSS host, be held at that location, and may require any host within five miles of that location be held as well </w:t>
      </w:r>
      <w:r w:rsidR="005250D5" w:rsidRPr="006C0055">
        <w:rPr>
          <w:rFonts w:ascii="Aptos Narrow" w:hAnsi="Aptos Narrow"/>
          <w:sz w:val="24"/>
          <w:szCs w:val="24"/>
        </w:rPr>
        <w:t xml:space="preserve">(FAC </w:t>
      </w:r>
      <w:r w:rsidRPr="006C0055">
        <w:rPr>
          <w:rFonts w:ascii="Aptos Narrow" w:hAnsi="Aptos Narrow"/>
          <w:sz w:val="24"/>
          <w:szCs w:val="24"/>
        </w:rPr>
        <w:t>Section 5701</w:t>
      </w:r>
      <w:r w:rsidR="005250D5" w:rsidRPr="006C0055">
        <w:rPr>
          <w:rFonts w:ascii="Aptos Narrow" w:hAnsi="Aptos Narrow"/>
          <w:sz w:val="24"/>
          <w:szCs w:val="24"/>
        </w:rPr>
        <w:t>)</w:t>
      </w:r>
      <w:r w:rsidRPr="006C0055">
        <w:rPr>
          <w:rFonts w:ascii="Aptos Narrow" w:hAnsi="Aptos Narrow"/>
          <w:sz w:val="24"/>
          <w:szCs w:val="24"/>
        </w:rPr>
        <w:t>.  It is unlawful to move any plant or host in violation of a hold order.</w:t>
      </w:r>
    </w:p>
    <w:p w14:paraId="2B70559B" w14:textId="6F0015D3" w:rsidR="005250D5" w:rsidRPr="006C0055" w:rsidRDefault="00E909AF" w:rsidP="0023784A">
      <w:pPr>
        <w:pStyle w:val="ListParagraph"/>
        <w:numPr>
          <w:ilvl w:val="0"/>
          <w:numId w:val="9"/>
        </w:numPr>
        <w:spacing w:after="120" w:line="240" w:lineRule="auto"/>
        <w:contextualSpacing w:val="0"/>
        <w:jc w:val="both"/>
        <w:rPr>
          <w:rFonts w:ascii="Aptos Narrow" w:hAnsi="Aptos Narrow"/>
          <w:sz w:val="24"/>
          <w:szCs w:val="24"/>
        </w:rPr>
      </w:pPr>
      <w:r w:rsidRPr="006C0055">
        <w:rPr>
          <w:rFonts w:ascii="Aptos Narrow" w:hAnsi="Aptos Narrow"/>
          <w:sz w:val="24"/>
          <w:szCs w:val="24"/>
        </w:rPr>
        <w:t xml:space="preserve">Any location, plants, or other things found infested with GWSS can be considered a public nuisance and may be prosecuted as such and any remedies provided by law for the prevention and abatement of a public nuisance will apply.  It is unlawful for any person to maintain a public nuisance.  The remedies provided here are in addition to any other applicable remedies </w:t>
      </w:r>
      <w:r w:rsidR="005250D5" w:rsidRPr="006C0055">
        <w:rPr>
          <w:rFonts w:ascii="Aptos Narrow" w:hAnsi="Aptos Narrow"/>
          <w:sz w:val="24"/>
          <w:szCs w:val="24"/>
        </w:rPr>
        <w:t xml:space="preserve">(FAC </w:t>
      </w:r>
      <w:r w:rsidRPr="006C0055">
        <w:rPr>
          <w:rFonts w:ascii="Aptos Narrow" w:hAnsi="Aptos Narrow"/>
          <w:sz w:val="24"/>
          <w:szCs w:val="24"/>
        </w:rPr>
        <w:t>Sections 5401 and 5402</w:t>
      </w:r>
      <w:r w:rsidR="005250D5" w:rsidRPr="006C0055">
        <w:rPr>
          <w:rFonts w:ascii="Aptos Narrow" w:hAnsi="Aptos Narrow"/>
          <w:sz w:val="24"/>
          <w:szCs w:val="24"/>
        </w:rPr>
        <w:t>)</w:t>
      </w:r>
      <w:r w:rsidRPr="006C0055">
        <w:rPr>
          <w:rFonts w:ascii="Aptos Narrow" w:hAnsi="Aptos Narrow"/>
          <w:sz w:val="24"/>
          <w:szCs w:val="24"/>
        </w:rPr>
        <w:t>.</w:t>
      </w:r>
    </w:p>
    <w:p w14:paraId="2A9785A5" w14:textId="1A10EBBC" w:rsidR="00AE6BDD" w:rsidRPr="006C0055" w:rsidRDefault="00AE6BDD" w:rsidP="009F0F75">
      <w:pPr>
        <w:spacing w:after="0" w:line="240" w:lineRule="auto"/>
        <w:rPr>
          <w:rFonts w:ascii="Aptos Narrow" w:hAnsi="Aptos Narrow"/>
          <w:sz w:val="24"/>
          <w:szCs w:val="24"/>
        </w:rPr>
      </w:pPr>
    </w:p>
    <w:p w14:paraId="4438874A" w14:textId="77777777" w:rsidR="009F0F75" w:rsidRPr="006C0055" w:rsidRDefault="009F0F75" w:rsidP="009F0F75">
      <w:pPr>
        <w:spacing w:after="0" w:line="240" w:lineRule="auto"/>
        <w:rPr>
          <w:rFonts w:ascii="Aptos Narrow" w:hAnsi="Aptos Narrow"/>
          <w:sz w:val="24"/>
          <w:szCs w:val="24"/>
        </w:rPr>
      </w:pPr>
    </w:p>
    <w:p w14:paraId="49BACD55" w14:textId="40E9E23E" w:rsidR="00AE6BDD" w:rsidRDefault="00E909AF" w:rsidP="0023784A">
      <w:pPr>
        <w:spacing w:after="0" w:line="240" w:lineRule="auto"/>
        <w:jc w:val="center"/>
        <w:rPr>
          <w:rFonts w:ascii="Aptos Narrow" w:hAnsi="Aptos Narrow"/>
          <w:b/>
          <w:bCs/>
          <w:sz w:val="24"/>
          <w:szCs w:val="24"/>
        </w:rPr>
      </w:pPr>
      <w:r w:rsidRPr="006C0055">
        <w:rPr>
          <w:rFonts w:ascii="Aptos Narrow" w:hAnsi="Aptos Narrow"/>
          <w:b/>
          <w:bCs/>
          <w:sz w:val="24"/>
          <w:szCs w:val="24"/>
        </w:rPr>
        <w:t>STANDARDS AND RESTRICTIONS</w:t>
      </w:r>
    </w:p>
    <w:p w14:paraId="20587CED" w14:textId="77777777" w:rsidR="00A57C06" w:rsidRPr="006C0055" w:rsidRDefault="00A57C06" w:rsidP="0023784A">
      <w:pPr>
        <w:spacing w:after="0" w:line="240" w:lineRule="auto"/>
        <w:jc w:val="center"/>
        <w:rPr>
          <w:rFonts w:ascii="Aptos Narrow" w:hAnsi="Aptos Narrow"/>
          <w:b/>
          <w:bCs/>
          <w:sz w:val="24"/>
          <w:szCs w:val="24"/>
        </w:rPr>
      </w:pPr>
    </w:p>
    <w:p w14:paraId="0D2F3FB6" w14:textId="17E3C450" w:rsidR="005250D5" w:rsidRPr="006C0055" w:rsidRDefault="00E909AF" w:rsidP="009E42A8">
      <w:pPr>
        <w:spacing w:after="0" w:line="240" w:lineRule="auto"/>
        <w:jc w:val="both"/>
        <w:rPr>
          <w:rFonts w:ascii="Aptos Narrow" w:hAnsi="Aptos Narrow"/>
          <w:sz w:val="24"/>
          <w:szCs w:val="24"/>
        </w:rPr>
      </w:pPr>
      <w:r w:rsidRPr="006C0055">
        <w:rPr>
          <w:rFonts w:ascii="Aptos Narrow" w:hAnsi="Aptos Narrow"/>
          <w:sz w:val="24"/>
          <w:szCs w:val="24"/>
        </w:rPr>
        <w:t xml:space="preserve">This workplan does not include any variations from the standards set by law.  If the </w:t>
      </w:r>
      <w:r w:rsidR="005250D5" w:rsidRPr="006C0055">
        <w:rPr>
          <w:rFonts w:ascii="Aptos Narrow" w:hAnsi="Aptos Narrow"/>
          <w:sz w:val="24"/>
          <w:szCs w:val="24"/>
          <w:highlight w:val="cyan"/>
        </w:rPr>
        <w:t xml:space="preserve">[County </w:t>
      </w:r>
      <w:r w:rsidR="009E42A8" w:rsidRPr="006C0055">
        <w:rPr>
          <w:rFonts w:ascii="Aptos Narrow" w:hAnsi="Aptos Narrow"/>
          <w:sz w:val="24"/>
          <w:szCs w:val="24"/>
          <w:highlight w:val="cyan"/>
        </w:rPr>
        <w:t>Name]</w:t>
      </w:r>
      <w:r w:rsidR="009E42A8" w:rsidRPr="006C0055">
        <w:rPr>
          <w:rFonts w:ascii="Aptos Narrow" w:hAnsi="Aptos Narrow"/>
          <w:sz w:val="24"/>
          <w:szCs w:val="24"/>
        </w:rPr>
        <w:t xml:space="preserve"> County</w:t>
      </w:r>
      <w:r w:rsidRPr="006C0055">
        <w:rPr>
          <w:rFonts w:ascii="Aptos Narrow" w:hAnsi="Aptos Narrow"/>
          <w:sz w:val="24"/>
          <w:szCs w:val="24"/>
        </w:rPr>
        <w:t xml:space="preserve"> Department of Agriculture (County) and the </w:t>
      </w:r>
      <w:r w:rsidR="005250D5" w:rsidRPr="006C0055">
        <w:rPr>
          <w:rFonts w:ascii="Aptos Narrow" w:hAnsi="Aptos Narrow"/>
          <w:sz w:val="24"/>
          <w:szCs w:val="24"/>
          <w:highlight w:val="cyan"/>
        </w:rPr>
        <w:t xml:space="preserve">[County </w:t>
      </w:r>
      <w:r w:rsidR="009E42A8" w:rsidRPr="006C0055">
        <w:rPr>
          <w:rFonts w:ascii="Aptos Narrow" w:hAnsi="Aptos Narrow"/>
          <w:sz w:val="24"/>
          <w:szCs w:val="24"/>
          <w:highlight w:val="cyan"/>
        </w:rPr>
        <w:t>Name]</w:t>
      </w:r>
      <w:r w:rsidR="009E42A8" w:rsidRPr="006C0055">
        <w:rPr>
          <w:rFonts w:ascii="Aptos Narrow" w:hAnsi="Aptos Narrow"/>
          <w:sz w:val="24"/>
          <w:szCs w:val="24"/>
        </w:rPr>
        <w:t xml:space="preserve"> County</w:t>
      </w:r>
      <w:r w:rsidRPr="006C0055">
        <w:rPr>
          <w:rFonts w:ascii="Aptos Narrow" w:hAnsi="Aptos Narrow"/>
          <w:sz w:val="24"/>
          <w:szCs w:val="24"/>
        </w:rPr>
        <w:t xml:space="preserve"> PDCP Task Force (if applicable) find that there is clear and convincing evidence to support a more stringent standard than is set by regulation, then the County will notify the CDFA and provide detailed justification as to the need for the more stringent standard.</w:t>
      </w:r>
    </w:p>
    <w:p w14:paraId="7FB43FDC" w14:textId="51453884" w:rsidR="005250D5" w:rsidRPr="006C0055" w:rsidRDefault="005250D5" w:rsidP="009F0F75">
      <w:pPr>
        <w:rPr>
          <w:rFonts w:ascii="Aptos Narrow" w:hAnsi="Aptos Narrow"/>
          <w:sz w:val="24"/>
          <w:szCs w:val="24"/>
        </w:rPr>
      </w:pPr>
    </w:p>
    <w:p w14:paraId="653FE50A" w14:textId="679928B5" w:rsidR="005250D5" w:rsidRDefault="00E909AF" w:rsidP="0023784A">
      <w:pPr>
        <w:spacing w:after="0" w:line="240" w:lineRule="auto"/>
        <w:jc w:val="center"/>
        <w:rPr>
          <w:rFonts w:ascii="Aptos Narrow" w:hAnsi="Aptos Narrow"/>
          <w:b/>
          <w:bCs/>
          <w:sz w:val="24"/>
          <w:szCs w:val="24"/>
        </w:rPr>
      </w:pPr>
      <w:r w:rsidRPr="006C0055">
        <w:rPr>
          <w:rFonts w:ascii="Aptos Narrow" w:hAnsi="Aptos Narrow"/>
          <w:b/>
          <w:bCs/>
          <w:sz w:val="24"/>
          <w:szCs w:val="24"/>
        </w:rPr>
        <w:t>LOCAL APPEAL PROCESS</w:t>
      </w:r>
    </w:p>
    <w:p w14:paraId="635FD2D8" w14:textId="77777777" w:rsidR="00A57C06" w:rsidRPr="006C0055" w:rsidRDefault="00A57C06" w:rsidP="0023784A">
      <w:pPr>
        <w:spacing w:after="0" w:line="240" w:lineRule="auto"/>
        <w:jc w:val="center"/>
        <w:rPr>
          <w:rFonts w:ascii="Aptos Narrow" w:hAnsi="Aptos Narrow"/>
          <w:b/>
          <w:bCs/>
          <w:sz w:val="24"/>
          <w:szCs w:val="24"/>
        </w:rPr>
      </w:pPr>
    </w:p>
    <w:p w14:paraId="18A16045" w14:textId="68021237" w:rsidR="00FB63BB" w:rsidRPr="006C0055" w:rsidRDefault="00E909AF" w:rsidP="009E42A8">
      <w:pPr>
        <w:spacing w:after="0" w:line="240" w:lineRule="auto"/>
        <w:jc w:val="both"/>
        <w:rPr>
          <w:rFonts w:ascii="Aptos Narrow" w:hAnsi="Aptos Narrow"/>
          <w:sz w:val="24"/>
          <w:szCs w:val="24"/>
        </w:rPr>
      </w:pPr>
      <w:r w:rsidRPr="006C0055">
        <w:rPr>
          <w:rFonts w:ascii="Aptos Narrow" w:hAnsi="Aptos Narrow"/>
          <w:sz w:val="24"/>
          <w:szCs w:val="24"/>
        </w:rPr>
        <w:t xml:space="preserve">Pursuant to Section 3651(c)(3) </w:t>
      </w:r>
      <w:r w:rsidR="009E42A8" w:rsidRPr="006C0055">
        <w:rPr>
          <w:rFonts w:ascii="Aptos Narrow" w:hAnsi="Aptos Narrow"/>
          <w:sz w:val="24"/>
          <w:szCs w:val="24"/>
        </w:rPr>
        <w:t xml:space="preserve">in Title 3 </w:t>
      </w:r>
      <w:r w:rsidRPr="006C0055">
        <w:rPr>
          <w:rFonts w:ascii="Aptos Narrow" w:hAnsi="Aptos Narrow"/>
          <w:sz w:val="24"/>
          <w:szCs w:val="24"/>
        </w:rPr>
        <w:t xml:space="preserve">of the </w:t>
      </w:r>
      <w:r w:rsidR="009E42A8" w:rsidRPr="006C0055">
        <w:rPr>
          <w:rFonts w:ascii="Aptos Narrow" w:hAnsi="Aptos Narrow"/>
          <w:sz w:val="24"/>
          <w:szCs w:val="24"/>
        </w:rPr>
        <w:t>California Code of Regulations</w:t>
      </w:r>
      <w:r w:rsidRPr="006C0055">
        <w:rPr>
          <w:rFonts w:ascii="Aptos Narrow" w:hAnsi="Aptos Narrow"/>
          <w:sz w:val="24"/>
          <w:szCs w:val="24"/>
        </w:rPr>
        <w:t xml:space="preserve">, the </w:t>
      </w:r>
      <w:r w:rsidR="005250D5" w:rsidRPr="006C0055">
        <w:rPr>
          <w:rFonts w:ascii="Aptos Narrow" w:hAnsi="Aptos Narrow"/>
          <w:sz w:val="24"/>
          <w:szCs w:val="24"/>
          <w:highlight w:val="cyan"/>
        </w:rPr>
        <w:t>[County Name]</w:t>
      </w:r>
      <w:r w:rsidR="005250D5" w:rsidRPr="006C0055">
        <w:rPr>
          <w:rFonts w:ascii="Aptos Narrow" w:hAnsi="Aptos Narrow"/>
          <w:sz w:val="24"/>
          <w:szCs w:val="24"/>
        </w:rPr>
        <w:t xml:space="preserve"> </w:t>
      </w:r>
      <w:r w:rsidRPr="006C0055">
        <w:rPr>
          <w:rFonts w:ascii="Aptos Narrow" w:hAnsi="Aptos Narrow"/>
          <w:sz w:val="24"/>
          <w:szCs w:val="24"/>
        </w:rPr>
        <w:t xml:space="preserve">County Department of Agriculture’s </w:t>
      </w:r>
      <w:r w:rsidR="009F0F75" w:rsidRPr="006C0055">
        <w:rPr>
          <w:rFonts w:ascii="Aptos Narrow" w:hAnsi="Aptos Narrow"/>
          <w:sz w:val="24"/>
          <w:szCs w:val="24"/>
        </w:rPr>
        <w:t>PDCP</w:t>
      </w:r>
      <w:r w:rsidRPr="006C0055">
        <w:rPr>
          <w:rFonts w:ascii="Aptos Narrow" w:hAnsi="Aptos Narrow"/>
          <w:sz w:val="24"/>
          <w:szCs w:val="24"/>
        </w:rPr>
        <w:t xml:space="preserve"> Coordinator shall conduct a hearing if any application of the workplan is appealed in writing to him/her or his/her agency.  Once the Coordinator receives an appeal, he/she or his/her agent will respond within 10 days to the appellant.  The appellant will be given notice as to the date and time for the hearing.  At the hearing, the appellant will be given the opportunity to be heard by the </w:t>
      </w:r>
      <w:proofErr w:type="gramStart"/>
      <w:r w:rsidRPr="006C0055">
        <w:rPr>
          <w:rFonts w:ascii="Aptos Narrow" w:hAnsi="Aptos Narrow"/>
          <w:sz w:val="24"/>
          <w:szCs w:val="24"/>
        </w:rPr>
        <w:t>Coordinator</w:t>
      </w:r>
      <w:proofErr w:type="gramEnd"/>
      <w:r w:rsidRPr="006C0055">
        <w:rPr>
          <w:rFonts w:ascii="Aptos Narrow" w:hAnsi="Aptos Narrow"/>
          <w:sz w:val="24"/>
          <w:szCs w:val="24"/>
        </w:rPr>
        <w:t xml:space="preserve"> and to present evidence on matters concerning the application of the workplan.  The </w:t>
      </w:r>
      <w:proofErr w:type="gramStart"/>
      <w:r w:rsidRPr="006C0055">
        <w:rPr>
          <w:rFonts w:ascii="Aptos Narrow" w:hAnsi="Aptos Narrow"/>
          <w:sz w:val="24"/>
          <w:szCs w:val="24"/>
        </w:rPr>
        <w:t>Coordinator</w:t>
      </w:r>
      <w:proofErr w:type="gramEnd"/>
      <w:r w:rsidRPr="006C0055">
        <w:rPr>
          <w:rFonts w:ascii="Aptos Narrow" w:hAnsi="Aptos Narrow"/>
          <w:sz w:val="24"/>
          <w:szCs w:val="24"/>
        </w:rPr>
        <w:t xml:space="preserve"> will render a decision and respond to the appellant in writing within 30 days of the hearing.  The results of said hearing will be transmitted to CDFA.</w:t>
      </w:r>
    </w:p>
    <w:sectPr w:rsidR="00FB63BB" w:rsidRPr="006C00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12706" w14:textId="77777777" w:rsidR="00C90868" w:rsidRDefault="00C90868" w:rsidP="00C90868">
      <w:pPr>
        <w:spacing w:after="0" w:line="240" w:lineRule="auto"/>
      </w:pPr>
      <w:r>
        <w:separator/>
      </w:r>
    </w:p>
  </w:endnote>
  <w:endnote w:type="continuationSeparator" w:id="0">
    <w:p w14:paraId="7FEDFC38" w14:textId="77777777" w:rsidR="00C90868" w:rsidRDefault="00C90868" w:rsidP="00C9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596D" w14:textId="77777777" w:rsidR="00C90868" w:rsidRDefault="00C90868" w:rsidP="00C90868">
      <w:pPr>
        <w:spacing w:after="0" w:line="240" w:lineRule="auto"/>
      </w:pPr>
      <w:r>
        <w:separator/>
      </w:r>
    </w:p>
  </w:footnote>
  <w:footnote w:type="continuationSeparator" w:id="0">
    <w:p w14:paraId="27B5A2D3" w14:textId="77777777" w:rsidR="00C90868" w:rsidRDefault="00C90868" w:rsidP="00C90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0B10"/>
    <w:multiLevelType w:val="hybridMultilevel"/>
    <w:tmpl w:val="4F1A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67944"/>
    <w:multiLevelType w:val="hybridMultilevel"/>
    <w:tmpl w:val="3148E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76B88"/>
    <w:multiLevelType w:val="hybridMultilevel"/>
    <w:tmpl w:val="2F50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05FD0"/>
    <w:multiLevelType w:val="hybridMultilevel"/>
    <w:tmpl w:val="CD3C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D7A6A"/>
    <w:multiLevelType w:val="hybridMultilevel"/>
    <w:tmpl w:val="EBA8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D649A"/>
    <w:multiLevelType w:val="hybridMultilevel"/>
    <w:tmpl w:val="5502AA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9095DAE"/>
    <w:multiLevelType w:val="hybridMultilevel"/>
    <w:tmpl w:val="2E9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B2055"/>
    <w:multiLevelType w:val="hybridMultilevel"/>
    <w:tmpl w:val="4D0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D687C"/>
    <w:multiLevelType w:val="hybridMultilevel"/>
    <w:tmpl w:val="0A722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6297A"/>
    <w:multiLevelType w:val="hybridMultilevel"/>
    <w:tmpl w:val="F2C0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56911"/>
    <w:multiLevelType w:val="hybridMultilevel"/>
    <w:tmpl w:val="1792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D18C8"/>
    <w:multiLevelType w:val="hybridMultilevel"/>
    <w:tmpl w:val="C532A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B3D56"/>
    <w:multiLevelType w:val="hybridMultilevel"/>
    <w:tmpl w:val="98B4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442863">
    <w:abstractNumId w:val="8"/>
  </w:num>
  <w:num w:numId="2" w16cid:durableId="497697386">
    <w:abstractNumId w:val="0"/>
  </w:num>
  <w:num w:numId="3" w16cid:durableId="31930400">
    <w:abstractNumId w:val="7"/>
  </w:num>
  <w:num w:numId="4" w16cid:durableId="178281015">
    <w:abstractNumId w:val="6"/>
  </w:num>
  <w:num w:numId="5" w16cid:durableId="186332676">
    <w:abstractNumId w:val="12"/>
  </w:num>
  <w:num w:numId="6" w16cid:durableId="1121068924">
    <w:abstractNumId w:val="10"/>
  </w:num>
  <w:num w:numId="7" w16cid:durableId="190581549">
    <w:abstractNumId w:val="9"/>
  </w:num>
  <w:num w:numId="8" w16cid:durableId="1735084611">
    <w:abstractNumId w:val="4"/>
  </w:num>
  <w:num w:numId="9" w16cid:durableId="1891265462">
    <w:abstractNumId w:val="11"/>
  </w:num>
  <w:num w:numId="10" w16cid:durableId="1430814455">
    <w:abstractNumId w:val="3"/>
  </w:num>
  <w:num w:numId="11" w16cid:durableId="1828284806">
    <w:abstractNumId w:val="2"/>
  </w:num>
  <w:num w:numId="12" w16cid:durableId="585236727">
    <w:abstractNumId w:val="5"/>
  </w:num>
  <w:num w:numId="13" w16cid:durableId="650985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AF"/>
    <w:rsid w:val="00081E76"/>
    <w:rsid w:val="000C1BAF"/>
    <w:rsid w:val="0018101F"/>
    <w:rsid w:val="0023784A"/>
    <w:rsid w:val="00270AB7"/>
    <w:rsid w:val="00340412"/>
    <w:rsid w:val="00346B4E"/>
    <w:rsid w:val="003722A0"/>
    <w:rsid w:val="00400BB1"/>
    <w:rsid w:val="004306BB"/>
    <w:rsid w:val="00503A0A"/>
    <w:rsid w:val="005250D5"/>
    <w:rsid w:val="005C1DF0"/>
    <w:rsid w:val="00635F5A"/>
    <w:rsid w:val="00672E4A"/>
    <w:rsid w:val="00697E72"/>
    <w:rsid w:val="006C0055"/>
    <w:rsid w:val="007A4D9A"/>
    <w:rsid w:val="00886B67"/>
    <w:rsid w:val="008E17C0"/>
    <w:rsid w:val="008F4301"/>
    <w:rsid w:val="00920670"/>
    <w:rsid w:val="009E42A8"/>
    <w:rsid w:val="009F0F75"/>
    <w:rsid w:val="00A57C06"/>
    <w:rsid w:val="00A644F9"/>
    <w:rsid w:val="00A85A80"/>
    <w:rsid w:val="00A91613"/>
    <w:rsid w:val="00AE6BDD"/>
    <w:rsid w:val="00B06293"/>
    <w:rsid w:val="00B07773"/>
    <w:rsid w:val="00BA722E"/>
    <w:rsid w:val="00BC1299"/>
    <w:rsid w:val="00BF29B0"/>
    <w:rsid w:val="00C436EE"/>
    <w:rsid w:val="00C5182A"/>
    <w:rsid w:val="00C90868"/>
    <w:rsid w:val="00D0219A"/>
    <w:rsid w:val="00DD4D10"/>
    <w:rsid w:val="00E909AF"/>
    <w:rsid w:val="00EC3658"/>
    <w:rsid w:val="00F057F9"/>
    <w:rsid w:val="00F602DF"/>
    <w:rsid w:val="00FB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20E2"/>
  <w15:chartTrackingRefBased/>
  <w15:docId w15:val="{EC896BB0-97C7-4DBA-BA41-A314F130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9AF"/>
    <w:rPr>
      <w:rFonts w:eastAsiaTheme="majorEastAsia" w:cstheme="majorBidi"/>
      <w:color w:val="272727" w:themeColor="text1" w:themeTint="D8"/>
    </w:rPr>
  </w:style>
  <w:style w:type="paragraph" w:styleId="Title">
    <w:name w:val="Title"/>
    <w:basedOn w:val="Normal"/>
    <w:next w:val="Normal"/>
    <w:link w:val="TitleChar"/>
    <w:uiPriority w:val="10"/>
    <w:qFormat/>
    <w:rsid w:val="00E90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9AF"/>
    <w:pPr>
      <w:spacing w:before="160"/>
      <w:jc w:val="center"/>
    </w:pPr>
    <w:rPr>
      <w:i/>
      <w:iCs/>
      <w:color w:val="404040" w:themeColor="text1" w:themeTint="BF"/>
    </w:rPr>
  </w:style>
  <w:style w:type="character" w:customStyle="1" w:styleId="QuoteChar">
    <w:name w:val="Quote Char"/>
    <w:basedOn w:val="DefaultParagraphFont"/>
    <w:link w:val="Quote"/>
    <w:uiPriority w:val="29"/>
    <w:rsid w:val="00E909AF"/>
    <w:rPr>
      <w:i/>
      <w:iCs/>
      <w:color w:val="404040" w:themeColor="text1" w:themeTint="BF"/>
    </w:rPr>
  </w:style>
  <w:style w:type="paragraph" w:styleId="ListParagraph">
    <w:name w:val="List Paragraph"/>
    <w:basedOn w:val="Normal"/>
    <w:uiPriority w:val="34"/>
    <w:qFormat/>
    <w:rsid w:val="00E909AF"/>
    <w:pPr>
      <w:ind w:left="720"/>
      <w:contextualSpacing/>
    </w:pPr>
  </w:style>
  <w:style w:type="character" w:styleId="IntenseEmphasis">
    <w:name w:val="Intense Emphasis"/>
    <w:basedOn w:val="DefaultParagraphFont"/>
    <w:uiPriority w:val="21"/>
    <w:qFormat/>
    <w:rsid w:val="00E909AF"/>
    <w:rPr>
      <w:i/>
      <w:iCs/>
      <w:color w:val="0F4761" w:themeColor="accent1" w:themeShade="BF"/>
    </w:rPr>
  </w:style>
  <w:style w:type="paragraph" w:styleId="IntenseQuote">
    <w:name w:val="Intense Quote"/>
    <w:basedOn w:val="Normal"/>
    <w:next w:val="Normal"/>
    <w:link w:val="IntenseQuoteChar"/>
    <w:uiPriority w:val="30"/>
    <w:qFormat/>
    <w:rsid w:val="00E90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9AF"/>
    <w:rPr>
      <w:i/>
      <w:iCs/>
      <w:color w:val="0F4761" w:themeColor="accent1" w:themeShade="BF"/>
    </w:rPr>
  </w:style>
  <w:style w:type="character" w:styleId="IntenseReference">
    <w:name w:val="Intense Reference"/>
    <w:basedOn w:val="DefaultParagraphFont"/>
    <w:uiPriority w:val="32"/>
    <w:qFormat/>
    <w:rsid w:val="00E909AF"/>
    <w:rPr>
      <w:b/>
      <w:bCs/>
      <w:smallCaps/>
      <w:color w:val="0F4761" w:themeColor="accent1" w:themeShade="BF"/>
      <w:spacing w:val="5"/>
    </w:rPr>
  </w:style>
  <w:style w:type="table" w:styleId="TableGrid">
    <w:name w:val="Table Grid"/>
    <w:basedOn w:val="TableNormal"/>
    <w:uiPriority w:val="39"/>
    <w:rsid w:val="00C5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868"/>
  </w:style>
  <w:style w:type="paragraph" w:styleId="Footer">
    <w:name w:val="footer"/>
    <w:basedOn w:val="Normal"/>
    <w:link w:val="FooterChar"/>
    <w:uiPriority w:val="99"/>
    <w:unhideWhenUsed/>
    <w:rsid w:val="00C9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68"/>
  </w:style>
  <w:style w:type="paragraph" w:styleId="FootnoteText">
    <w:name w:val="footnote text"/>
    <w:basedOn w:val="Normal"/>
    <w:link w:val="FootnoteTextChar"/>
    <w:uiPriority w:val="99"/>
    <w:semiHidden/>
    <w:unhideWhenUsed/>
    <w:rsid w:val="00C90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868"/>
    <w:rPr>
      <w:sz w:val="20"/>
      <w:szCs w:val="20"/>
    </w:rPr>
  </w:style>
  <w:style w:type="character" w:styleId="FootnoteReference">
    <w:name w:val="footnote reference"/>
    <w:basedOn w:val="DefaultParagraphFont"/>
    <w:uiPriority w:val="99"/>
    <w:semiHidden/>
    <w:unhideWhenUsed/>
    <w:rsid w:val="00C90868"/>
    <w:rPr>
      <w:vertAlign w:val="superscript"/>
    </w:rPr>
  </w:style>
  <w:style w:type="character" w:styleId="PlaceholderText">
    <w:name w:val="Placeholder Text"/>
    <w:basedOn w:val="DefaultParagraphFont"/>
    <w:uiPriority w:val="99"/>
    <w:semiHidden/>
    <w:rsid w:val="00D0219A"/>
    <w:rPr>
      <w:color w:val="666666"/>
    </w:rPr>
  </w:style>
  <w:style w:type="character" w:styleId="CommentReference">
    <w:name w:val="annotation reference"/>
    <w:basedOn w:val="DefaultParagraphFont"/>
    <w:uiPriority w:val="99"/>
    <w:semiHidden/>
    <w:unhideWhenUsed/>
    <w:rsid w:val="00886B67"/>
    <w:rPr>
      <w:sz w:val="16"/>
      <w:szCs w:val="16"/>
    </w:rPr>
  </w:style>
  <w:style w:type="paragraph" w:styleId="CommentText">
    <w:name w:val="annotation text"/>
    <w:basedOn w:val="Normal"/>
    <w:link w:val="CommentTextChar"/>
    <w:uiPriority w:val="99"/>
    <w:unhideWhenUsed/>
    <w:rsid w:val="00886B67"/>
    <w:pPr>
      <w:spacing w:line="240" w:lineRule="auto"/>
    </w:pPr>
    <w:rPr>
      <w:sz w:val="20"/>
      <w:szCs w:val="20"/>
    </w:rPr>
  </w:style>
  <w:style w:type="character" w:customStyle="1" w:styleId="CommentTextChar">
    <w:name w:val="Comment Text Char"/>
    <w:basedOn w:val="DefaultParagraphFont"/>
    <w:link w:val="CommentText"/>
    <w:uiPriority w:val="99"/>
    <w:rsid w:val="00886B67"/>
    <w:rPr>
      <w:sz w:val="20"/>
      <w:szCs w:val="20"/>
    </w:rPr>
  </w:style>
  <w:style w:type="paragraph" w:styleId="CommentSubject">
    <w:name w:val="annotation subject"/>
    <w:basedOn w:val="CommentText"/>
    <w:next w:val="CommentText"/>
    <w:link w:val="CommentSubjectChar"/>
    <w:uiPriority w:val="99"/>
    <w:semiHidden/>
    <w:unhideWhenUsed/>
    <w:rsid w:val="00886B67"/>
    <w:rPr>
      <w:b/>
      <w:bCs/>
    </w:rPr>
  </w:style>
  <w:style w:type="character" w:customStyle="1" w:styleId="CommentSubjectChar">
    <w:name w:val="Comment Subject Char"/>
    <w:basedOn w:val="CommentTextChar"/>
    <w:link w:val="CommentSubject"/>
    <w:uiPriority w:val="99"/>
    <w:semiHidden/>
    <w:rsid w:val="00886B67"/>
    <w:rPr>
      <w:b/>
      <w:bCs/>
      <w:sz w:val="20"/>
      <w:szCs w:val="20"/>
    </w:rPr>
  </w:style>
  <w:style w:type="character" w:styleId="Hyperlink">
    <w:name w:val="Hyperlink"/>
    <w:rsid w:val="008F4301"/>
    <w:rPr>
      <w:color w:val="0000FF"/>
      <w:u w:val="single"/>
    </w:rPr>
  </w:style>
  <w:style w:type="character" w:styleId="UnresolvedMention">
    <w:name w:val="Unresolved Mention"/>
    <w:basedOn w:val="DefaultParagraphFont"/>
    <w:uiPriority w:val="99"/>
    <w:semiHidden/>
    <w:unhideWhenUsed/>
    <w:rsid w:val="008F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0832">
      <w:bodyDiv w:val="1"/>
      <w:marLeft w:val="0"/>
      <w:marRight w:val="0"/>
      <w:marTop w:val="0"/>
      <w:marBottom w:val="0"/>
      <w:divBdr>
        <w:top w:val="none" w:sz="0" w:space="0" w:color="auto"/>
        <w:left w:val="none" w:sz="0" w:space="0" w:color="auto"/>
        <w:bottom w:val="none" w:sz="0" w:space="0" w:color="auto"/>
        <w:right w:val="none" w:sz="0" w:space="0" w:color="auto"/>
      </w:divBdr>
    </w:div>
    <w:div w:id="8246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cdfa.ca.gov/egov/crs/login.aspx?ReturnUrl=%2fegov%2fcrs%2f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fa.pdcp_inv@cdfa.ca.gov" TargetMode="External"/><Relationship Id="rId5" Type="http://schemas.openxmlformats.org/officeDocument/2006/relationships/webSettings" Target="webSettings.xml"/><Relationship Id="rId10" Type="http://schemas.openxmlformats.org/officeDocument/2006/relationships/hyperlink" Target="https://www.ecfr.gov/cgi-bin/text-idx?tpl=/ecfrbrowse/Title02/2cfr200_main_02.tpl" TargetMode="External"/><Relationship Id="rId4" Type="http://schemas.openxmlformats.org/officeDocument/2006/relationships/settings" Target="settings.xml"/><Relationship Id="rId9" Type="http://schemas.openxmlformats.org/officeDocument/2006/relationships/hyperlink" Target="https://www.sco.ca.gov/Files-ARD-Local/asp_manual_2023_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21475-CBA2-407C-94D0-FDF9E685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3007</Words>
  <Characters>17142</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Michelle@CDFA</dc:creator>
  <cp:keywords/>
  <dc:description/>
  <cp:lastModifiedBy>Blincoe, Peggy@CDFA</cp:lastModifiedBy>
  <cp:revision>2</cp:revision>
  <dcterms:created xsi:type="dcterms:W3CDTF">2025-03-26T19:09:00Z</dcterms:created>
  <dcterms:modified xsi:type="dcterms:W3CDTF">2025-03-26T19:09:00Z</dcterms:modified>
</cp:coreProperties>
</file>